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黑体" w:eastAsia="黑体"/>
          <w:sz w:val="32"/>
          <w:lang w:eastAsia="zh-CN"/>
        </w:rPr>
      </w:pPr>
      <w:bookmarkStart w:id="0" w:name="urgentLevel"/>
      <w:r>
        <w:rPr>
          <w:rFonts w:hint="eastAsia" w:ascii="黑体" w:eastAsia="黑体"/>
          <w:sz w:val="32"/>
          <w:lang w:eastAsia="zh-CN"/>
        </w:rPr>
        <w:t>加  急</w:t>
      </w:r>
      <w:bookmarkEnd w:id="0"/>
    </w:p>
    <w:p>
      <w:pPr>
        <w:keepNext w:val="0"/>
        <w:keepLines w:val="0"/>
        <w:pageBreakBefore w:val="0"/>
        <w:widowControl w:val="0"/>
        <w:kinsoku/>
        <w:wordWrap/>
        <w:overflowPunct/>
        <w:topLinePunct w:val="0"/>
        <w:autoSpaceDE/>
        <w:autoSpaceDN/>
        <w:bidi w:val="0"/>
        <w:adjustRightInd/>
        <w:snapToGrid w:val="0"/>
        <w:spacing w:line="240" w:lineRule="auto"/>
        <w:ind w:left="2" w:right="0" w:rightChars="0" w:firstLine="2"/>
        <w:jc w:val="both"/>
        <w:textAlignment w:val="auto"/>
        <w:outlineLvl w:val="9"/>
        <w:rPr>
          <w:rFonts w:hint="eastAsia" w:ascii="黑体" w:eastAsia="黑体"/>
          <w:sz w:val="32"/>
        </w:rPr>
      </w:pPr>
    </w:p>
    <w:p>
      <w:pPr>
        <w:keepNext w:val="0"/>
        <w:keepLines w:val="0"/>
        <w:pageBreakBefore w:val="0"/>
        <w:widowControl w:val="0"/>
        <w:kinsoku/>
        <w:wordWrap/>
        <w:overflowPunct/>
        <w:topLinePunct w:val="0"/>
        <w:autoSpaceDE/>
        <w:autoSpaceDN/>
        <w:bidi w:val="0"/>
        <w:adjustRightInd/>
        <w:snapToGrid w:val="0"/>
        <w:spacing w:line="240" w:lineRule="auto"/>
        <w:ind w:left="2" w:right="0" w:rightChars="0" w:firstLine="2"/>
        <w:jc w:val="both"/>
        <w:textAlignment w:val="auto"/>
        <w:outlineLvl w:val="9"/>
        <w:rPr>
          <w:rFonts w:hint="eastAsia" w:ascii="黑体" w:eastAsia="黑体"/>
          <w:sz w:val="32"/>
        </w:rPr>
      </w:pPr>
    </w:p>
    <w:p>
      <w:pPr>
        <w:keepNext w:val="0"/>
        <w:keepLines w:val="0"/>
        <w:pageBreakBefore w:val="0"/>
        <w:widowControl w:val="0"/>
        <w:kinsoku/>
        <w:wordWrap/>
        <w:overflowPunct/>
        <w:topLinePunct w:val="0"/>
        <w:autoSpaceDE/>
        <w:autoSpaceDN/>
        <w:bidi w:val="0"/>
        <w:adjustRightInd/>
        <w:snapToGrid w:val="0"/>
        <w:spacing w:line="240" w:lineRule="auto"/>
        <w:ind w:left="2" w:right="0" w:rightChars="0" w:firstLine="2"/>
        <w:jc w:val="both"/>
        <w:textAlignment w:val="auto"/>
        <w:outlineLvl w:val="9"/>
        <w:rPr>
          <w:rFonts w:hint="eastAsia" w:ascii="黑体" w:eastAsia="黑体"/>
          <w:sz w:val="32"/>
        </w:rPr>
      </w:pPr>
    </w:p>
    <w:p>
      <w:pPr>
        <w:keepNext w:val="0"/>
        <w:keepLines w:val="0"/>
        <w:pageBreakBefore w:val="0"/>
        <w:widowControl w:val="0"/>
        <w:kinsoku/>
        <w:wordWrap/>
        <w:overflowPunct/>
        <w:topLinePunct w:val="0"/>
        <w:autoSpaceDE/>
        <w:autoSpaceDN/>
        <w:bidi w:val="0"/>
        <w:adjustRightInd/>
        <w:snapToGrid w:val="0"/>
        <w:spacing w:line="240" w:lineRule="auto"/>
        <w:ind w:left="2" w:right="0" w:rightChars="0" w:firstLine="2"/>
        <w:jc w:val="both"/>
        <w:textAlignment w:val="auto"/>
        <w:outlineLvl w:val="9"/>
        <w:rPr>
          <w:rFonts w:hint="eastAsia" w:ascii="黑体" w:eastAsia="黑体"/>
          <w:sz w:val="32"/>
        </w:rPr>
      </w:pPr>
    </w:p>
    <w:tbl>
      <w:tblPr>
        <w:tblStyle w:val="6"/>
        <w:tblW w:w="9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68"/>
        <w:gridCol w:w="2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204" w:hRule="atLeast"/>
          <w:jc w:val="center"/>
        </w:trPr>
        <w:tc>
          <w:tcPr>
            <w:tcW w:w="6768" w:type="dxa"/>
            <w:vAlign w:val="top"/>
          </w:tcPr>
          <w:p>
            <w:pPr>
              <w:jc w:val="distribute"/>
              <w:rPr>
                <w:rFonts w:hint="eastAsia" w:ascii="方正小标宋简体" w:eastAsia="方正小标宋简体"/>
                <w:vanish w:val="0"/>
                <w:color w:val="FF0000"/>
                <w:sz w:val="44"/>
                <w:szCs w:val="44"/>
                <w:lang w:eastAsia="zh-CN"/>
              </w:rPr>
            </w:pPr>
            <w:bookmarkStart w:id="1" w:name="markhead"/>
            <w:r>
              <w:rPr>
                <w:rFonts w:hint="eastAsia" w:ascii="方正小标宋简体" w:eastAsia="方正小标宋简体"/>
                <w:vanish w:val="0"/>
                <w:color w:val="FF0000"/>
                <w:sz w:val="44"/>
                <w:szCs w:val="44"/>
                <w:lang w:eastAsia="zh-CN"/>
              </w:rPr>
              <w:t>浙江省财政厅</w:t>
            </w:r>
            <w:bookmarkEnd w:id="1"/>
          </w:p>
        </w:tc>
        <w:tc>
          <w:tcPr>
            <w:tcW w:w="2292" w:type="dxa"/>
            <w:vAlign w:val="center"/>
          </w:tcPr>
          <w:p>
            <w:pPr>
              <w:jc w:val="distribute"/>
              <w:rPr>
                <w:rFonts w:hint="eastAsia" w:ascii="方正小标宋简体" w:eastAsia="方正小标宋简体"/>
                <w:vanish w:val="0"/>
                <w:color w:val="FF0000"/>
                <w:sz w:val="44"/>
                <w:szCs w:val="44"/>
                <w:lang w:eastAsia="zh-CN"/>
              </w:rPr>
            </w:pPr>
            <w:bookmarkStart w:id="2" w:name="fileType"/>
            <w:r>
              <w:rPr>
                <w:rFonts w:hint="eastAsia" w:ascii="方正小标宋简体" w:eastAsia="方正小标宋简体"/>
                <w:vanish w:val="0"/>
                <w:color w:val="FF0000"/>
                <w:sz w:val="44"/>
                <w:szCs w:val="44"/>
                <w:lang w:eastAsia="zh-CN"/>
              </w:rPr>
              <w:t>文件</w:t>
            </w:r>
            <w:bookmarkEnd w:id="2"/>
          </w:p>
        </w:tc>
      </w:tr>
    </w:tbl>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仿宋_GB2312" w:eastAsia="仿宋_GB2312"/>
        </w:rPr>
      </w:pPr>
    </w:p>
    <w:p>
      <w:pPr>
        <w:jc w:val="center"/>
        <w:rPr>
          <w:rFonts w:hint="eastAsia" w:eastAsia="仿宋_GB2312"/>
          <w:sz w:val="32"/>
          <w:lang w:eastAsia="zh-CN"/>
        </w:rPr>
      </w:pPr>
      <w:bookmarkStart w:id="3" w:name="_GoBack"/>
      <w:r>
        <w:rPr>
          <w:rFonts w:hint="eastAsia" w:ascii="仿宋_GB2312" w:hAnsi="仿宋_GB2312" w:eastAsia="仿宋_GB2312" w:cs="仿宋_GB2312"/>
          <w:sz w:val="32"/>
          <w:lang w:eastAsia="zh-CN"/>
        </w:rPr>
        <w:t>浙财采监〔2017〕6号</w:t>
      </w:r>
    </w:p>
    <w:bookmarkEnd w:id="3"/>
    <w:p>
      <w:pPr>
        <w:tabs>
          <w:tab w:val="left" w:pos="3071"/>
        </w:tabs>
        <w:rPr>
          <w:rFonts w:hint="eastAsia" w:ascii="仿宋_GB2312" w:eastAsia="仿宋_GB2312"/>
          <w:vanish w:val="0"/>
          <w:szCs w:val="21"/>
        </w:rPr>
      </w:pPr>
      <w:r>
        <w:rPr>
          <w:rFonts w:ascii="仿宋_GB2312" w:eastAsia="仿宋_GB2312"/>
          <w:vanish w:val="0"/>
          <w:sz w:val="2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230505</wp:posOffset>
                </wp:positionV>
                <wp:extent cx="5529580" cy="0"/>
                <wp:effectExtent l="0" t="0" r="0" b="0"/>
                <wp:wrapNone/>
                <wp:docPr id="1" name="Line 2"/>
                <wp:cNvGraphicFramePr/>
                <a:graphic xmlns:a="http://schemas.openxmlformats.org/drawingml/2006/main">
                  <a:graphicData uri="http://schemas.microsoft.com/office/word/2010/wordprocessingShape">
                    <wps:wsp>
                      <wps:cNvSpPr/>
                      <wps:spPr>
                        <a:xfrm>
                          <a:off x="0" y="0"/>
                          <a:ext cx="552958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18.15pt;height:0pt;width:435.4pt;z-index:251658240;mso-width-relative:page;mso-height-relative:page;" filled="f" stroked="t" coordsize="21600,21600" o:gfxdata="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jK9XtQAAAAGAQAADwAAAAAAAAABACAAAAAiAAAAZHJzL2Rvd25yZXYueG1s&#10;UEsBAhQAFAAAAAgAh07iQLfSxg/DAQAAjAMAAA4AAAAAAAAAAQAgAAAAIwEAAGRycy9lMm9Eb2Mu&#10;eG1sUEsFBgAAAAAGAAYAWQEAAFgFAAAAAA==&#10;">
                <v:path arrowok="t"/>
                <v:fill on="f" focussize="0,0"/>
                <v:stroke weight="2.25pt" color="#FF0000"/>
                <v:imagedata o:title=""/>
                <o:lock v:ext="edit" grouping="f" rotation="f" text="f" aspectratio="f"/>
              </v:line>
            </w:pict>
          </mc:Fallback>
        </mc:AlternateContent>
      </w:r>
      <w:r>
        <w:rPr>
          <w:rFonts w:hint="eastAsia" w:ascii="仿宋_GB2312" w:eastAsia="仿宋_GB2312"/>
          <w:vanish w:val="0"/>
          <w:szCs w:val="21"/>
          <w:lang w:eastAsia="zh-CN"/>
        </w:rPr>
        <w:tab/>
      </w:r>
    </w:p>
    <w:p>
      <w:pPr>
        <w:snapToGrid w:val="0"/>
        <w:jc w:val="center"/>
        <w:rPr>
          <w:rFonts w:hint="eastAsia" w:ascii="方正小标宋简体" w:eastAsia="方正小标宋简体"/>
          <w:sz w:val="44"/>
          <w:szCs w:val="21"/>
        </w:rPr>
      </w:pPr>
    </w:p>
    <w:p>
      <w:pPr>
        <w:snapToGrid w:val="0"/>
        <w:jc w:val="center"/>
        <w:rPr>
          <w:rFonts w:hint="eastAsia" w:ascii="方正小标宋简体" w:eastAsia="方正小标宋简体"/>
          <w:sz w:val="44"/>
          <w:szCs w:val="21"/>
        </w:rPr>
      </w:pPr>
    </w:p>
    <w:p>
      <w:pPr>
        <w:snapToGrid w:val="0"/>
        <w:jc w:val="center"/>
        <w:rPr>
          <w:rFonts w:hint="eastAsia" w:ascii="方正小标宋简体" w:eastAsia="方正小标宋简体"/>
          <w:sz w:val="44"/>
          <w:lang w:eastAsia="zh-CN"/>
        </w:rPr>
      </w:pPr>
      <w:r>
        <w:rPr>
          <w:rFonts w:hint="eastAsia" w:ascii="方正小标宋简体" w:eastAsia="方正小标宋简体"/>
          <w:sz w:val="44"/>
          <w:lang w:eastAsia="zh-CN"/>
        </w:rPr>
        <w:t>浙江省财政厅关于印发浙江省2017年度</w:t>
      </w:r>
    </w:p>
    <w:p>
      <w:pPr>
        <w:snapToGrid w:val="0"/>
        <w:jc w:val="center"/>
        <w:rPr>
          <w:rFonts w:hint="eastAsia" w:ascii="方正小标宋简体" w:eastAsia="方正小标宋简体"/>
          <w:sz w:val="44"/>
          <w:lang w:eastAsia="zh-CN"/>
        </w:rPr>
      </w:pPr>
      <w:r>
        <w:rPr>
          <w:rFonts w:hint="eastAsia" w:ascii="方正小标宋简体" w:eastAsia="方正小标宋简体"/>
          <w:sz w:val="44"/>
          <w:lang w:eastAsia="zh-CN"/>
        </w:rPr>
        <w:t>政府采购品目分类目录的通知</w:t>
      </w:r>
    </w:p>
    <w:p>
      <w:pPr>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各市、县（市、区）财政局，省政府直属各单位</w:t>
      </w:r>
      <w:r>
        <w:rPr>
          <w:rFonts w:hint="eastAsia" w:ascii="仿宋_GB2312" w:hAnsi="仿宋_GB2312" w:eastAsia="仿宋_GB2312" w:cs="仿宋_GB2312"/>
          <w:sz w:val="32"/>
          <w:szCs w:val="32"/>
        </w:rPr>
        <w:t>：</w:t>
      </w:r>
    </w:p>
    <w:p>
      <w:pPr>
        <w:ind w:firstLine="623"/>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按照省政府办公厅《关于公布浙江省2017年度政府集中采购目录及采购限额标准的通知》（浙政办发〔2016〕167号）要求，现将《浙江省2017年度政府采购品目分类目录》印发给你们，请遵照执行。</w:t>
      </w:r>
    </w:p>
    <w:p>
      <w:pPr>
        <w:ind w:firstLine="623"/>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执行中的意见和建议，请及时向省财政厅政府采购监管处反馈。联系人：冯华，电话：0571-87055741。</w:t>
      </w:r>
    </w:p>
    <w:p>
      <w:pPr>
        <w:ind w:firstLine="623"/>
        <w:jc w:val="left"/>
        <w:rPr>
          <w:rFonts w:hint="eastAsia" w:ascii="仿宋_GB2312" w:hAnsi="仿宋_GB2312" w:eastAsia="仿宋_GB2312" w:cs="仿宋_GB2312"/>
          <w:sz w:val="32"/>
          <w:szCs w:val="32"/>
          <w:lang w:val="en-US" w:eastAsia="zh-CN"/>
        </w:rPr>
      </w:pPr>
    </w:p>
    <w:p>
      <w:pPr>
        <w:ind w:firstLine="623"/>
        <w:jc w:val="left"/>
        <w:rPr>
          <w:rFonts w:hint="eastAsia" w:ascii="仿宋_GB2312" w:hAnsi="仿宋_GB2312" w:eastAsia="仿宋_GB2312" w:cs="仿宋_GB2312"/>
          <w:sz w:val="32"/>
          <w:szCs w:val="32"/>
          <w:lang w:val="en-US" w:eastAsia="zh-CN"/>
        </w:rPr>
      </w:pPr>
    </w:p>
    <w:p>
      <w:pPr>
        <w:ind w:firstLine="623"/>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附件：浙江省2017年度政府采购品目分类目录</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tabs>
          <w:tab w:val="left" w:pos="4554"/>
        </w:tabs>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浙江省财政厅  </w:t>
      </w:r>
    </w:p>
    <w:p>
      <w:pPr>
        <w:spacing w:line="560" w:lineRule="exact"/>
        <w:ind w:left="3027" w:leftChars="1500"/>
        <w:jc w:val="cente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2017</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w:t>
      </w:r>
    </w:p>
    <w:p>
      <w:pPr>
        <w:spacing w:line="560" w:lineRule="exact"/>
        <w:rPr>
          <w:rFonts w:hint="eastAsia" w:ascii="仿宋_GB2312" w:eastAsia="仿宋_GB2312"/>
          <w:sz w:val="30"/>
          <w:lang w:val="en-US" w:eastAsia="zh-CN"/>
        </w:rPr>
      </w:pPr>
      <w:r>
        <w:rPr>
          <w:rFonts w:hint="eastAsia" w:ascii="仿宋_GB2312" w:eastAsia="仿宋_GB2312"/>
          <w:sz w:val="30"/>
          <w:lang w:val="en-US" w:eastAsia="zh-CN"/>
        </w:rPr>
        <w:t xml:space="preserve">    （此件公开发布）</w:t>
      </w:r>
    </w:p>
    <w:p>
      <w:pPr>
        <w:snapToGrid/>
        <w:spacing w:line="240" w:lineRule="auto"/>
        <w:jc w:val="left"/>
        <w:rPr>
          <w:rFonts w:hint="eastAsia"/>
          <w:kern w:val="2"/>
          <w:sz w:val="21"/>
          <w:szCs w:val="24"/>
          <w:lang w:val="en-US" w:eastAsia="zh-CN" w:bidi="ar-SA"/>
        </w:rPr>
      </w:pPr>
    </w:p>
    <w:p>
      <w:pPr>
        <w:snapToGrid/>
        <w:spacing w:line="240" w:lineRule="auto"/>
        <w:jc w:val="left"/>
        <w:rPr>
          <w:rFonts w:hint="eastAsia"/>
          <w:kern w:val="2"/>
          <w:sz w:val="21"/>
          <w:szCs w:val="24"/>
          <w:lang w:val="en-US" w:eastAsia="zh-CN" w:bidi="ar-SA"/>
        </w:rPr>
      </w:pPr>
    </w:p>
    <w:p>
      <w:pPr>
        <w:snapToGrid/>
        <w:spacing w:line="240" w:lineRule="auto"/>
        <w:jc w:val="left"/>
        <w:rPr>
          <w:rFonts w:hint="eastAsia"/>
          <w:kern w:val="2"/>
          <w:sz w:val="21"/>
          <w:szCs w:val="24"/>
          <w:lang w:val="en-US" w:eastAsia="zh-CN" w:bidi="ar-SA"/>
        </w:rPr>
      </w:pPr>
    </w:p>
    <w:p>
      <w:pPr>
        <w:snapToGrid/>
        <w:spacing w:line="240" w:lineRule="auto"/>
        <w:jc w:val="left"/>
        <w:rPr>
          <w:rFonts w:hint="eastAsia"/>
          <w:kern w:val="2"/>
          <w:sz w:val="21"/>
          <w:szCs w:val="24"/>
          <w:lang w:val="en-US" w:eastAsia="zh-CN" w:bidi="ar-SA"/>
        </w:rPr>
      </w:pPr>
    </w:p>
    <w:p>
      <w:pPr>
        <w:snapToGrid/>
        <w:spacing w:line="240" w:lineRule="auto"/>
        <w:jc w:val="left"/>
        <w:rPr>
          <w:rFonts w:hint="eastAsia"/>
          <w:kern w:val="2"/>
          <w:sz w:val="21"/>
          <w:szCs w:val="24"/>
          <w:lang w:val="en-US" w:eastAsia="zh-CN" w:bidi="ar-SA"/>
        </w:rPr>
      </w:pPr>
    </w:p>
    <w:p>
      <w:pPr>
        <w:snapToGrid/>
        <w:spacing w:line="240" w:lineRule="auto"/>
        <w:jc w:val="left"/>
        <w:rPr>
          <w:rFonts w:hint="eastAsia"/>
          <w:kern w:val="2"/>
          <w:sz w:val="21"/>
          <w:szCs w:val="24"/>
          <w:lang w:val="en-US" w:eastAsia="zh-CN" w:bidi="ar-SA"/>
        </w:rPr>
      </w:pPr>
    </w:p>
    <w:p>
      <w:pPr>
        <w:snapToGrid/>
        <w:spacing w:line="240" w:lineRule="auto"/>
        <w:jc w:val="left"/>
        <w:rPr>
          <w:rFonts w:hint="eastAsia"/>
          <w:kern w:val="2"/>
          <w:sz w:val="21"/>
          <w:szCs w:val="24"/>
          <w:lang w:val="en-US" w:eastAsia="zh-CN" w:bidi="ar-SA"/>
        </w:rPr>
      </w:pPr>
    </w:p>
    <w:p>
      <w:pPr>
        <w:snapToGrid/>
        <w:spacing w:line="240" w:lineRule="auto"/>
        <w:jc w:val="left"/>
        <w:rPr>
          <w:rFonts w:hint="eastAsia"/>
          <w:kern w:val="2"/>
          <w:sz w:val="21"/>
          <w:szCs w:val="24"/>
          <w:lang w:val="en-US" w:eastAsia="zh-CN" w:bidi="ar-SA"/>
        </w:rPr>
      </w:pPr>
    </w:p>
    <w:p>
      <w:pPr>
        <w:snapToGrid/>
        <w:spacing w:line="240" w:lineRule="auto"/>
        <w:jc w:val="left"/>
        <w:rPr>
          <w:rFonts w:hint="eastAsia"/>
          <w:kern w:val="2"/>
          <w:sz w:val="21"/>
          <w:szCs w:val="24"/>
          <w:lang w:val="en-US" w:eastAsia="zh-CN" w:bidi="ar-SA"/>
        </w:rPr>
      </w:pPr>
    </w:p>
    <w:p>
      <w:pPr>
        <w:snapToGrid/>
        <w:spacing w:line="240" w:lineRule="auto"/>
        <w:jc w:val="left"/>
        <w:rPr>
          <w:rFonts w:hint="eastAsia"/>
          <w:kern w:val="2"/>
          <w:sz w:val="21"/>
          <w:szCs w:val="24"/>
          <w:lang w:val="en-US" w:eastAsia="zh-CN" w:bidi="ar-SA"/>
        </w:rPr>
      </w:pPr>
    </w:p>
    <w:p>
      <w:pPr>
        <w:snapToGrid/>
        <w:spacing w:line="240" w:lineRule="auto"/>
        <w:jc w:val="left"/>
        <w:rPr>
          <w:rFonts w:hint="eastAsia"/>
          <w:kern w:val="2"/>
          <w:sz w:val="21"/>
          <w:szCs w:val="24"/>
          <w:lang w:val="en-US" w:eastAsia="zh-CN" w:bidi="ar-SA"/>
        </w:rPr>
      </w:pPr>
    </w:p>
    <w:p>
      <w:pPr>
        <w:snapToGrid/>
        <w:spacing w:line="240" w:lineRule="auto"/>
        <w:jc w:val="left"/>
        <w:rPr>
          <w:rFonts w:hint="eastAsia"/>
          <w:kern w:val="2"/>
          <w:sz w:val="21"/>
          <w:szCs w:val="24"/>
          <w:lang w:val="en-US" w:eastAsia="zh-CN" w:bidi="ar-SA"/>
        </w:rPr>
      </w:pPr>
    </w:p>
    <w:p>
      <w:pPr>
        <w:snapToGrid/>
        <w:spacing w:line="240" w:lineRule="auto"/>
        <w:jc w:val="left"/>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snapToGrid/>
        <w:spacing w:line="240" w:lineRule="auto"/>
        <w:jc w:val="left"/>
        <w:rPr>
          <w:rFonts w:hint="eastAsia" w:ascii="仿宋" w:hAnsi="仿宋" w:eastAsia="仿宋" w:cs="仿宋"/>
          <w:kern w:val="2"/>
          <w:sz w:val="32"/>
          <w:szCs w:val="32"/>
          <w:lang w:val="en-US" w:eastAsia="zh-CN" w:bidi="ar-SA"/>
        </w:rPr>
      </w:pPr>
    </w:p>
    <w:p>
      <w:pPr>
        <w:widowControl/>
        <w:spacing w:line="660" w:lineRule="exact"/>
        <w:ind w:left="-426" w:leftChars="-203"/>
        <w:jc w:val="center"/>
        <w:rPr>
          <w:rFonts w:ascii="方正小标宋简体" w:hAnsi="创艺简标宋" w:eastAsia="方正小标宋简体" w:cs="Times New Roman"/>
          <w:kern w:val="0"/>
          <w:sz w:val="44"/>
          <w:szCs w:val="44"/>
        </w:rPr>
      </w:pPr>
      <w:r>
        <w:rPr>
          <w:rFonts w:hint="eastAsia" w:ascii="方正小标宋简体" w:hAnsi="创艺简标宋" w:eastAsia="方正小标宋简体" w:cs="Times New Roman"/>
          <w:kern w:val="0"/>
          <w:sz w:val="44"/>
          <w:szCs w:val="44"/>
        </w:rPr>
        <w:t>浙江省</w:t>
      </w:r>
      <w:r>
        <w:rPr>
          <w:rFonts w:ascii="Times New Roman" w:hAnsi="Times New Roman" w:eastAsia="方正小标宋简体" w:cs="Times New Roman"/>
          <w:kern w:val="0"/>
          <w:sz w:val="44"/>
          <w:szCs w:val="44"/>
        </w:rPr>
        <w:t>201</w:t>
      </w:r>
      <w:r>
        <w:rPr>
          <w:rFonts w:hint="eastAsia" w:ascii="Times New Roman" w:hAnsi="Times New Roman" w:eastAsia="方正小标宋简体" w:cs="Times New Roman"/>
          <w:kern w:val="0"/>
          <w:sz w:val="44"/>
          <w:szCs w:val="44"/>
        </w:rPr>
        <w:t>7</w:t>
      </w:r>
      <w:r>
        <w:rPr>
          <w:rFonts w:hint="eastAsia" w:ascii="方正小标宋简体" w:hAnsi="创艺简标宋" w:eastAsia="方正小标宋简体" w:cs="Times New Roman"/>
          <w:kern w:val="0"/>
          <w:sz w:val="44"/>
          <w:szCs w:val="44"/>
        </w:rPr>
        <w:t>年度政府采购品目分类目录</w:t>
      </w:r>
    </w:p>
    <w:p>
      <w:pPr>
        <w:widowControl/>
        <w:spacing w:line="660" w:lineRule="exact"/>
        <w:ind w:left="-426" w:leftChars="-203"/>
        <w:jc w:val="center"/>
        <w:rPr>
          <w:rFonts w:ascii="Times New Roman" w:hAnsi="Times New Roman" w:eastAsia="仿宋_GB2312" w:cs="Times New Roman"/>
          <w:sz w:val="44"/>
          <w:szCs w:val="44"/>
        </w:rPr>
      </w:pPr>
    </w:p>
    <w:tbl>
      <w:tblPr>
        <w:tblStyle w:val="6"/>
        <w:tblW w:w="9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644"/>
        <w:gridCol w:w="2161"/>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
                <w:kern w:val="0"/>
                <w:sz w:val="24"/>
                <w:szCs w:val="24"/>
              </w:rPr>
            </w:pPr>
            <w:r>
              <w:rPr>
                <w:b/>
                <w:kern w:val="0"/>
                <w:sz w:val="24"/>
                <w:szCs w:val="24"/>
              </w:rPr>
              <w:t>品目代码</w:t>
            </w:r>
          </w:p>
        </w:tc>
        <w:tc>
          <w:tcPr>
            <w:tcW w:w="3644" w:type="dxa"/>
            <w:tcBorders>
              <w:top w:val="single" w:color="auto" w:sz="4" w:space="0"/>
              <w:bottom w:val="single" w:color="auto" w:sz="4" w:space="0"/>
            </w:tcBorders>
            <w:vAlign w:val="center"/>
          </w:tcPr>
          <w:p>
            <w:pPr>
              <w:widowControl/>
              <w:spacing w:beforeLines="0" w:afterLines="0" w:line="300" w:lineRule="exact"/>
              <w:jc w:val="center"/>
              <w:rPr>
                <w:b/>
                <w:kern w:val="0"/>
                <w:sz w:val="24"/>
                <w:szCs w:val="24"/>
              </w:rPr>
            </w:pPr>
            <w:r>
              <w:rPr>
                <w:b/>
                <w:kern w:val="0"/>
                <w:sz w:val="24"/>
                <w:szCs w:val="24"/>
              </w:rPr>
              <w:t>品目名称</w:t>
            </w:r>
          </w:p>
        </w:tc>
        <w:tc>
          <w:tcPr>
            <w:tcW w:w="2161" w:type="dxa"/>
            <w:tcBorders>
              <w:top w:val="single" w:color="auto" w:sz="4" w:space="0"/>
              <w:bottom w:val="single" w:color="auto" w:sz="4" w:space="0"/>
            </w:tcBorders>
            <w:vAlign w:val="center"/>
          </w:tcPr>
          <w:p>
            <w:pPr>
              <w:widowControl/>
              <w:spacing w:beforeLines="0" w:afterLines="0" w:line="300" w:lineRule="exact"/>
              <w:jc w:val="center"/>
              <w:rPr>
                <w:b/>
                <w:kern w:val="0"/>
                <w:sz w:val="24"/>
                <w:szCs w:val="24"/>
              </w:rPr>
            </w:pPr>
            <w:r>
              <w:rPr>
                <w:b/>
                <w:kern w:val="0"/>
                <w:sz w:val="24"/>
                <w:szCs w:val="24"/>
              </w:rPr>
              <w:t>说 明</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jc w:val="center"/>
              <w:rPr>
                <w:b/>
                <w:kern w:val="0"/>
                <w:sz w:val="24"/>
                <w:szCs w:val="24"/>
              </w:rPr>
            </w:pPr>
            <w:r>
              <w:rPr>
                <w:b/>
                <w:kern w:val="0"/>
                <w:sz w:val="24"/>
                <w:szCs w:val="24"/>
              </w:rPr>
              <w:t>采购类型（省级）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jc w:val="center"/>
              <w:rPr>
                <w:b/>
                <w:bCs/>
                <w:kern w:val="0"/>
                <w:szCs w:val="21"/>
              </w:rPr>
            </w:pPr>
            <w:r>
              <w:rPr>
                <w:b/>
                <w:bCs/>
                <w:kern w:val="0"/>
                <w:szCs w:val="21"/>
              </w:rPr>
              <w:t>A</w:t>
            </w:r>
          </w:p>
        </w:tc>
        <w:tc>
          <w:tcPr>
            <w:tcW w:w="3644" w:type="dxa"/>
            <w:tcBorders>
              <w:top w:val="single" w:color="auto" w:sz="4" w:space="0"/>
              <w:bottom w:val="single" w:color="auto" w:sz="4" w:space="0"/>
            </w:tcBorders>
            <w:vAlign w:val="center"/>
          </w:tcPr>
          <w:p>
            <w:pPr>
              <w:widowControl/>
              <w:spacing w:beforeLines="0" w:afterLines="0" w:line="300" w:lineRule="exact"/>
              <w:jc w:val="center"/>
              <w:rPr>
                <w:b/>
                <w:bCs/>
                <w:kern w:val="0"/>
                <w:szCs w:val="21"/>
              </w:rPr>
            </w:pPr>
            <w:r>
              <w:rPr>
                <w:b/>
                <w:bCs/>
                <w:kern w:val="0"/>
                <w:szCs w:val="21"/>
              </w:rPr>
              <w:t>货物类</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土地、建筑物及构筑物</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A0101</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土地、海域及无居民海岛</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A0102</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建筑物</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A0103</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构筑物</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w:t>
            </w:r>
          </w:p>
        </w:tc>
        <w:tc>
          <w:tcPr>
            <w:tcW w:w="3644"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通用设备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A0201</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计算机设备及软件</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A020101</w:t>
            </w:r>
          </w:p>
        </w:tc>
        <w:tc>
          <w:tcPr>
            <w:tcW w:w="3644" w:type="dxa"/>
            <w:tcBorders>
              <w:top w:val="single" w:color="auto" w:sz="4" w:space="0"/>
              <w:bottom w:val="single" w:color="auto" w:sz="4" w:space="0"/>
            </w:tcBorders>
            <w:vAlign w:val="center"/>
          </w:tcPr>
          <w:p>
            <w:pPr>
              <w:widowControl/>
              <w:spacing w:beforeLines="0" w:afterLines="0" w:line="300" w:lineRule="exact"/>
              <w:ind w:firstLine="412" w:firstLineChars="196"/>
              <w:rPr>
                <w:bCs/>
                <w:kern w:val="0"/>
                <w:szCs w:val="21"/>
              </w:rPr>
            </w:pPr>
            <w:r>
              <w:rPr>
                <w:bCs/>
                <w:kern w:val="0"/>
                <w:szCs w:val="21"/>
              </w:rPr>
              <w:t>计算机设备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A02010101</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巨/大/中型计算机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A02010102</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小型计算机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A02010103</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服务器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A02010104</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台式计算机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A02010105</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便携式计算机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p>
            <w:pPr>
              <w:widowControl/>
              <w:spacing w:beforeLines="0" w:afterLines="0" w:line="300" w:lineRule="exact"/>
              <w:rPr>
                <w:kern w:val="0"/>
                <w:szCs w:val="21"/>
              </w:rPr>
            </w:pPr>
            <w:r>
              <w:rPr>
                <w:kern w:val="0"/>
                <w:szCs w:val="21"/>
              </w:rPr>
              <w:t>（协议供货）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A02010107</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平板式微型计算机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A02010199</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其他计算机设备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rFonts w:hint="eastAsia" w:eastAsia="宋体"/>
                <w:kern w:val="0"/>
                <w:szCs w:val="21"/>
                <w:lang w:val="en-US" w:eastAsia="zh-CN"/>
              </w:rPr>
            </w:pPr>
            <w:r>
              <w:rPr>
                <w:rFonts w:hint="eastAsia"/>
                <w:b w:val="0"/>
                <w:bCs w:val="0"/>
                <w:color w:val="auto"/>
                <w:kern w:val="0"/>
                <w:szCs w:val="21"/>
                <w:lang w:val="en-US" w:eastAsia="zh-CN"/>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A020102</w:t>
            </w:r>
          </w:p>
        </w:tc>
        <w:tc>
          <w:tcPr>
            <w:tcW w:w="3644" w:type="dxa"/>
            <w:tcBorders>
              <w:top w:val="single" w:color="auto" w:sz="4" w:space="0"/>
              <w:bottom w:val="single" w:color="auto" w:sz="4" w:space="0"/>
            </w:tcBorders>
            <w:vAlign w:val="center"/>
          </w:tcPr>
          <w:p>
            <w:pPr>
              <w:widowControl/>
              <w:spacing w:beforeLines="0" w:afterLines="0" w:line="300" w:lineRule="exact"/>
              <w:ind w:firstLine="412" w:firstLineChars="196"/>
              <w:rPr>
                <w:bCs/>
                <w:kern w:val="0"/>
                <w:szCs w:val="21"/>
              </w:rPr>
            </w:pPr>
            <w:r>
              <w:rPr>
                <w:bCs/>
                <w:kern w:val="0"/>
                <w:szCs w:val="21"/>
              </w:rPr>
              <w:t>计算机网络设备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A02010201</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路由器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A02010202</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交换设备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指交换机</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A02010210</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网络检测设备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A02010211</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负载均衡设备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A02010299</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其他网络设备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rFonts w:hint="eastAsia" w:eastAsia="宋体"/>
                <w:color w:val="FF0000"/>
                <w:kern w:val="0"/>
                <w:szCs w:val="21"/>
                <w:lang w:val="en-US" w:eastAsia="zh-CN"/>
              </w:rPr>
            </w:pPr>
            <w:r>
              <w:rPr>
                <w:rFonts w:hint="eastAsia"/>
                <w:color w:val="auto"/>
                <w:kern w:val="0"/>
                <w:szCs w:val="21"/>
                <w:lang w:val="en-US" w:eastAsia="zh-CN"/>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A020103</w:t>
            </w:r>
          </w:p>
        </w:tc>
        <w:tc>
          <w:tcPr>
            <w:tcW w:w="3644" w:type="dxa"/>
            <w:tcBorders>
              <w:top w:val="single" w:color="auto" w:sz="4" w:space="0"/>
              <w:bottom w:val="single" w:color="auto" w:sz="4" w:space="0"/>
            </w:tcBorders>
            <w:vAlign w:val="center"/>
          </w:tcPr>
          <w:p>
            <w:pPr>
              <w:widowControl/>
              <w:spacing w:beforeLines="0" w:afterLines="0" w:line="300" w:lineRule="exact"/>
              <w:ind w:firstLine="412" w:firstLineChars="196"/>
              <w:rPr>
                <w:bCs/>
                <w:kern w:val="0"/>
                <w:szCs w:val="21"/>
              </w:rPr>
            </w:pPr>
            <w:r>
              <w:rPr>
                <w:bCs/>
                <w:kern w:val="0"/>
                <w:szCs w:val="21"/>
              </w:rPr>
              <w:t>信息安全设备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A02010301</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防火墙</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A02010303</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入侵防御设备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A02010304</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漏洞扫描设备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A02010305</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容灾备份设备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A02010306</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网络隔离设备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A02010307</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安全审计设备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A02010309</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计算机终端安全设备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包括加密狗、U盾等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A02010310</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网闸</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A02010311</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上网行为管理设备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A02010312</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密码产品</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A02010313</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虚拟专用网（VPN）设备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A02010399</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其他安全设备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rFonts w:hint="eastAsia" w:eastAsia="宋体"/>
                <w:kern w:val="0"/>
                <w:szCs w:val="21"/>
                <w:lang w:val="en-US" w:eastAsia="zh-CN"/>
              </w:rPr>
            </w:pPr>
            <w:r>
              <w:rPr>
                <w:rFonts w:hint="eastAsia"/>
                <w:color w:val="auto"/>
                <w:kern w:val="0"/>
                <w:szCs w:val="21"/>
                <w:lang w:val="en-US" w:eastAsia="zh-CN"/>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A020104</w:t>
            </w:r>
          </w:p>
        </w:tc>
        <w:tc>
          <w:tcPr>
            <w:tcW w:w="3644" w:type="dxa"/>
            <w:tcBorders>
              <w:top w:val="single" w:color="auto" w:sz="4" w:space="0"/>
              <w:bottom w:val="single" w:color="auto" w:sz="4" w:space="0"/>
            </w:tcBorders>
            <w:vAlign w:val="center"/>
          </w:tcPr>
          <w:p>
            <w:pPr>
              <w:widowControl/>
              <w:spacing w:beforeLines="0" w:afterLines="0" w:line="300" w:lineRule="exact"/>
              <w:ind w:firstLine="412" w:firstLineChars="196"/>
              <w:rPr>
                <w:bCs/>
                <w:kern w:val="0"/>
                <w:szCs w:val="21"/>
              </w:rPr>
            </w:pPr>
            <w:r>
              <w:rPr>
                <w:bCs/>
                <w:kern w:val="0"/>
                <w:szCs w:val="21"/>
              </w:rPr>
              <w:t>终端设备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包括触摸式终端设备、终端机等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A020105</w:t>
            </w:r>
          </w:p>
        </w:tc>
        <w:tc>
          <w:tcPr>
            <w:tcW w:w="3644" w:type="dxa"/>
            <w:tcBorders>
              <w:top w:val="single" w:color="auto" w:sz="4" w:space="0"/>
              <w:bottom w:val="single" w:color="auto" w:sz="4" w:space="0"/>
            </w:tcBorders>
            <w:vAlign w:val="center"/>
          </w:tcPr>
          <w:p>
            <w:pPr>
              <w:widowControl/>
              <w:spacing w:beforeLines="0" w:afterLines="0" w:line="300" w:lineRule="exact"/>
              <w:ind w:firstLine="412" w:firstLineChars="196"/>
              <w:rPr>
                <w:bCs/>
                <w:kern w:val="0"/>
                <w:szCs w:val="21"/>
              </w:rPr>
            </w:pPr>
            <w:r>
              <w:rPr>
                <w:bCs/>
                <w:kern w:val="0"/>
                <w:szCs w:val="21"/>
              </w:rPr>
              <w:t>存储设备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包括磁盘机、磁盘阵列、存储用光纤交换机、光盘库、磁带机、磁带库、网络存储设备、移动存储设备（闪存盘、移动硬盘、软盘、光盘）等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A020106</w:t>
            </w:r>
          </w:p>
        </w:tc>
        <w:tc>
          <w:tcPr>
            <w:tcW w:w="3644" w:type="dxa"/>
            <w:tcBorders>
              <w:top w:val="single" w:color="auto" w:sz="4" w:space="0"/>
              <w:bottom w:val="single" w:color="auto" w:sz="4" w:space="0"/>
            </w:tcBorders>
            <w:vAlign w:val="center"/>
          </w:tcPr>
          <w:p>
            <w:pPr>
              <w:widowControl/>
              <w:spacing w:beforeLines="0" w:afterLines="0" w:line="300" w:lineRule="exact"/>
              <w:ind w:firstLine="412" w:firstLineChars="196"/>
              <w:rPr>
                <w:bCs/>
                <w:kern w:val="0"/>
                <w:szCs w:val="21"/>
              </w:rPr>
            </w:pPr>
            <w:r>
              <w:rPr>
                <w:bCs/>
                <w:kern w:val="0"/>
                <w:szCs w:val="21"/>
              </w:rPr>
              <w:t>输入输出设备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A02010601</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打印设备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限于喷墨、激光、热式、针式打印机</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A02010604</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显示设备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指显示器</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A02010607</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一般输入设备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包括键盘、鼠标器、控制杆等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strike/>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A02010608</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识别输入设备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包括刷卡机、POS机、纸带输入机、磁卡读写器、集成电路（IC）卡读写器、非接触式智能卡读写机、触摸屏等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strike/>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A02010609</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图形图像输入设备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mc:AlternateContent>
                <mc:Choice Requires="wps">
                  <w:drawing>
                    <wp:anchor distT="0" distB="0" distL="114300" distR="114300" simplePos="0" relativeHeight="251659264" behindDoc="0" locked="0" layoutInCell="1" allowOverlap="1">
                      <wp:simplePos x="0" y="0"/>
                      <wp:positionH relativeFrom="column">
                        <wp:posOffset>-85090</wp:posOffset>
                      </wp:positionH>
                      <wp:positionV relativeFrom="paragraph">
                        <wp:posOffset>-5910580</wp:posOffset>
                      </wp:positionV>
                      <wp:extent cx="40005" cy="99695"/>
                      <wp:effectExtent l="4445" t="1905" r="12700" b="12700"/>
                      <wp:wrapNone/>
                      <wp:docPr id="3" name="直接连接符 35"/>
                      <wp:cNvGraphicFramePr/>
                      <a:graphic xmlns:a="http://schemas.openxmlformats.org/drawingml/2006/main">
                        <a:graphicData uri="http://schemas.microsoft.com/office/word/2010/wordprocessingShape">
                          <wps:wsp>
                            <wps:cNvSpPr/>
                            <wps:spPr>
                              <a:xfrm flipH="1" flipV="1">
                                <a:off x="0" y="0"/>
                                <a:ext cx="40005" cy="99695"/>
                              </a:xfrm>
                              <a:prstGeom prst="line">
                                <a:avLst/>
                              </a:prstGeom>
                              <a:ln w="9525" cap="flat" cmpd="sng">
                                <a:solidFill>
                                  <a:srgbClr val="000000"/>
                                </a:solidFill>
                                <a:prstDash val="solid"/>
                                <a:bevel/>
                                <a:headEnd type="none" w="med" len="med"/>
                                <a:tailEnd type="none" w="med" len="med"/>
                              </a:ln>
                            </wps:spPr>
                            <wps:bodyPr upright="1"/>
                          </wps:wsp>
                        </a:graphicData>
                      </a:graphic>
                    </wp:anchor>
                  </w:drawing>
                </mc:Choice>
                <mc:Fallback>
                  <w:pict>
                    <v:line id="直接连接符 35" o:spid="_x0000_s1026" o:spt="20" style="position:absolute;left:0pt;flip:x y;margin-left:-6.7pt;margin-top:-465.4pt;height:7.85pt;width:3.15pt;z-index:251659264;mso-width-relative:page;mso-height-relative:page;" filled="f" stroked="t" coordsize="21600,21600" o:gfxdata="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hx/AnaAAAADAEAAA8AAAAAAAAAAQAgAAAAIgAAAGRycy9kb3ducmV2LnhtbFBLAQIUABQA&#10;AAAIAIdO4kA/8Jrw7gEAALcDAAAOAAAAAAAAAAEAIAAAACkBAABkcnMvZTJvRG9jLnhtbFBLBQYA&#10;AAAABgAGAFkBAACJBQAAAAA=&#10;">
                      <v:path arrowok="t"/>
                      <v:fill on="f" focussize="0,0"/>
                      <v:stroke joinstyle="bevel"/>
                      <v:imagedata o:title=""/>
                      <o:lock v:ext="edit" grouping="f" rotation="f" text="f" aspectratio="f"/>
                    </v:line>
                  </w:pict>
                </mc:Fallback>
              </mc:AlternateContent>
            </w:r>
            <w:r>
              <w:rPr>
                <w:kern w:val="0"/>
                <w:szCs w:val="21"/>
              </w:rPr>
              <w:t>A0201060901</w:t>
            </w:r>
          </w:p>
        </w:tc>
        <w:tc>
          <w:tcPr>
            <w:tcW w:w="3644" w:type="dxa"/>
            <w:tcBorders>
              <w:top w:val="single" w:color="auto" w:sz="4" w:space="0"/>
              <w:bottom w:val="single" w:color="auto" w:sz="4" w:space="0"/>
            </w:tcBorders>
            <w:vAlign w:val="center"/>
          </w:tcPr>
          <w:p>
            <w:pPr>
              <w:widowControl/>
              <w:spacing w:beforeLines="0" w:afterLines="0" w:line="300" w:lineRule="exact"/>
              <w:ind w:firstLine="840" w:firstLineChars="400"/>
              <w:rPr>
                <w:kern w:val="0"/>
                <w:szCs w:val="21"/>
              </w:rPr>
            </w:pPr>
            <w:r>
              <w:rPr>
                <w:kern w:val="0"/>
                <w:szCs w:val="21"/>
              </w:rPr>
              <w:t>扫描仪</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A0201060999</w:t>
            </w:r>
          </w:p>
        </w:tc>
        <w:tc>
          <w:tcPr>
            <w:tcW w:w="3644" w:type="dxa"/>
            <w:tcBorders>
              <w:top w:val="single" w:color="auto" w:sz="4" w:space="0"/>
              <w:bottom w:val="single" w:color="auto" w:sz="4" w:space="0"/>
            </w:tcBorders>
            <w:vAlign w:val="center"/>
          </w:tcPr>
          <w:p>
            <w:pPr>
              <w:widowControl/>
              <w:spacing w:beforeLines="0" w:afterLines="0" w:line="300" w:lineRule="exact"/>
              <w:ind w:firstLine="840" w:firstLineChars="400"/>
              <w:rPr>
                <w:kern w:val="0"/>
                <w:szCs w:val="21"/>
              </w:rPr>
            </w:pPr>
            <w:r>
              <w:rPr>
                <w:kern w:val="0"/>
                <w:szCs w:val="21"/>
              </w:rPr>
              <w:t>其他图形图像输入设备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包括图形板、光笔、坐标数字化仪等其他图形图像输入设备</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A02010699</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其他输入输出设备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包括计算机绘图设备、光电设备、KVM设备、综合输入设备、语音输入设备、手写式输入设备、数据录入设备等其他输入输出设备</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A020107</w:t>
            </w:r>
          </w:p>
        </w:tc>
        <w:tc>
          <w:tcPr>
            <w:tcW w:w="3644" w:type="dxa"/>
            <w:tcBorders>
              <w:top w:val="single" w:color="auto" w:sz="4" w:space="0"/>
              <w:bottom w:val="single" w:color="auto" w:sz="4" w:space="0"/>
            </w:tcBorders>
            <w:vAlign w:val="center"/>
          </w:tcPr>
          <w:p>
            <w:pPr>
              <w:widowControl/>
              <w:spacing w:beforeLines="0" w:afterLines="0" w:line="300" w:lineRule="exact"/>
              <w:ind w:firstLine="412" w:firstLineChars="196"/>
              <w:rPr>
                <w:bCs/>
                <w:kern w:val="0"/>
                <w:szCs w:val="21"/>
              </w:rPr>
            </w:pPr>
            <w:r>
              <w:rPr>
                <w:bCs/>
                <w:kern w:val="0"/>
                <w:szCs w:val="21"/>
              </w:rPr>
              <w:t>机房辅助设备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A02010701</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机柜</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A02010702</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机房环境监控设备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A02010799</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其他机房辅助设备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rFonts w:hint="eastAsia" w:eastAsia="宋体"/>
                <w:color w:val="FF0000"/>
                <w:kern w:val="0"/>
                <w:szCs w:val="21"/>
                <w:lang w:val="en-US" w:eastAsia="zh-CN"/>
              </w:rPr>
            </w:pPr>
            <w:r>
              <w:rPr>
                <w:rFonts w:hint="eastAsia"/>
                <w:color w:val="auto"/>
                <w:kern w:val="0"/>
                <w:szCs w:val="21"/>
                <w:lang w:val="en-US" w:eastAsia="zh-CN"/>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A020108</w:t>
            </w:r>
          </w:p>
        </w:tc>
        <w:tc>
          <w:tcPr>
            <w:tcW w:w="3644" w:type="dxa"/>
            <w:tcBorders>
              <w:top w:val="single" w:color="auto" w:sz="4" w:space="0"/>
              <w:bottom w:val="single" w:color="auto" w:sz="4" w:space="0"/>
            </w:tcBorders>
            <w:vAlign w:val="center"/>
          </w:tcPr>
          <w:p>
            <w:pPr>
              <w:widowControl/>
              <w:spacing w:beforeLines="0" w:afterLines="0" w:line="300" w:lineRule="exact"/>
              <w:ind w:firstLine="412" w:firstLineChars="196"/>
              <w:rPr>
                <w:bCs/>
                <w:kern w:val="0"/>
                <w:szCs w:val="21"/>
              </w:rPr>
            </w:pPr>
            <w:r>
              <w:rPr>
                <w:bCs/>
                <w:kern w:val="0"/>
                <w:szCs w:val="21"/>
              </w:rPr>
              <w:t>计算机软件</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对直接从市场购买的标准软件等非定制开发的商业软件实行政府集中采购，不包括定制软件和对购买的标准软件再进行第二次开发的软件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A02010801</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基础软件</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包括操作系统、数据库管理系统、中间件、办公套件、其他基础软件</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A02010802</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支撑软件</w:t>
            </w:r>
          </w:p>
        </w:tc>
        <w:tc>
          <w:tcPr>
            <w:tcW w:w="2161" w:type="dxa"/>
            <w:tcBorders>
              <w:top w:val="single" w:color="auto" w:sz="4" w:space="0"/>
              <w:bottom w:val="single" w:color="auto" w:sz="4" w:space="0"/>
            </w:tcBorders>
            <w:vAlign w:val="center"/>
          </w:tcPr>
          <w:p>
            <w:pPr>
              <w:spacing w:beforeLines="0" w:afterLines="0" w:line="300" w:lineRule="exact"/>
              <w:rPr>
                <w:sz w:val="24"/>
                <w:szCs w:val="24"/>
              </w:rPr>
            </w:pPr>
            <w:r>
              <w:rPr>
                <w:szCs w:val="24"/>
              </w:rPr>
              <w:t>包括需求分析软件、建模软件、集成开发环境、测试软件、开发管理软件、逆向工程软件和再工程软件、其他支撑软件</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A02010803</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应用软件</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A0201080301</w:t>
            </w:r>
          </w:p>
        </w:tc>
        <w:tc>
          <w:tcPr>
            <w:tcW w:w="3644" w:type="dxa"/>
            <w:tcBorders>
              <w:top w:val="single" w:color="auto" w:sz="4" w:space="0"/>
              <w:bottom w:val="single" w:color="auto" w:sz="4" w:space="0"/>
            </w:tcBorders>
            <w:vAlign w:val="center"/>
          </w:tcPr>
          <w:p>
            <w:pPr>
              <w:widowControl/>
              <w:spacing w:beforeLines="0" w:afterLines="0" w:line="300" w:lineRule="exact"/>
              <w:ind w:firstLine="840" w:firstLineChars="400"/>
              <w:rPr>
                <w:kern w:val="0"/>
                <w:szCs w:val="21"/>
              </w:rPr>
            </w:pPr>
            <w:r>
              <w:rPr>
                <w:kern w:val="0"/>
                <w:szCs w:val="21"/>
              </w:rPr>
              <w:t>通用应用软件</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A0201080302</w:t>
            </w:r>
          </w:p>
        </w:tc>
        <w:tc>
          <w:tcPr>
            <w:tcW w:w="3644" w:type="dxa"/>
            <w:tcBorders>
              <w:top w:val="single" w:color="auto" w:sz="4" w:space="0"/>
              <w:bottom w:val="single" w:color="auto" w:sz="4" w:space="0"/>
            </w:tcBorders>
            <w:vAlign w:val="center"/>
          </w:tcPr>
          <w:p>
            <w:pPr>
              <w:widowControl/>
              <w:spacing w:beforeLines="0" w:afterLines="0" w:line="300" w:lineRule="exact"/>
              <w:ind w:firstLine="840" w:firstLineChars="400"/>
              <w:rPr>
                <w:kern w:val="0"/>
                <w:szCs w:val="21"/>
              </w:rPr>
            </w:pPr>
            <w:r>
              <w:rPr>
                <w:kern w:val="0"/>
                <w:szCs w:val="21"/>
              </w:rPr>
              <w:t>行业应用软件</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A02010804</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嵌入式软件</w:t>
            </w:r>
          </w:p>
        </w:tc>
        <w:tc>
          <w:tcPr>
            <w:tcW w:w="2161" w:type="dxa"/>
            <w:tcBorders>
              <w:top w:val="single" w:color="auto" w:sz="4" w:space="0"/>
              <w:bottom w:val="single" w:color="auto" w:sz="4" w:space="0"/>
            </w:tcBorders>
            <w:vAlign w:val="center"/>
          </w:tcPr>
          <w:p>
            <w:pPr>
              <w:spacing w:beforeLines="0" w:afterLines="0" w:line="300" w:lineRule="exact"/>
              <w:rPr>
                <w:sz w:val="24"/>
                <w:szCs w:val="24"/>
              </w:rPr>
            </w:pPr>
            <w:r>
              <w:rPr>
                <w:szCs w:val="24"/>
              </w:rPr>
              <w:t>包括嵌入式操作系统、嵌入式数据库系统、嵌入式开发与仿真软件、嵌入式应用软件、其他嵌入式软件</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A02010805</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信息安全软件</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bCs/>
                <w:kern w:val="0"/>
                <w:szCs w:val="21"/>
              </w:rPr>
              <w:t>包括基础和平台类安全软件、数据安全软件、网络与边界安全软件、专用安全软件、安全测试评估软件、安全应用软件、安全支撑软件、安全管理软件、其他信息安全软件</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A02010899</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其他计算机软件</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A020199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其他计算机设备及软件</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A0202</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办公设备</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A02020</w:t>
            </w:r>
            <w:r>
              <w:rPr>
                <w:rFonts w:hint="eastAsia"/>
                <w:kern w:val="0"/>
                <w:szCs w:val="21"/>
              </w:rPr>
              <w:t>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复印机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A020202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投影仪</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A020203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投影幕</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A020204</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多功能一体机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具有多种办公功能的设备</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A020205</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照相机及器材</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rFonts w:eastAsia="宋体"/>
                <w:strike/>
                <w:dstrike w:val="0"/>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A02020501</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照相机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A02020502</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镜头及器材</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A020206</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电子白板</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A020207</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LED显示屏</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rFonts w:hint="eastAsia" w:eastAsia="宋体"/>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mc:AlternateContent>
                <mc:Choice Requires="wps">
                  <w:drawing>
                    <wp:anchor distT="0" distB="0" distL="114300" distR="114300" simplePos="0" relativeHeight="251660288" behindDoc="0" locked="0" layoutInCell="1" allowOverlap="1">
                      <wp:simplePos x="0" y="0"/>
                      <wp:positionH relativeFrom="column">
                        <wp:posOffset>-77470</wp:posOffset>
                      </wp:positionH>
                      <wp:positionV relativeFrom="paragraph">
                        <wp:posOffset>0</wp:posOffset>
                      </wp:positionV>
                      <wp:extent cx="6304915" cy="635"/>
                      <wp:effectExtent l="0" t="0" r="0" b="0"/>
                      <wp:wrapNone/>
                      <wp:docPr id="2" name="直接连接符 34"/>
                      <wp:cNvGraphicFramePr/>
                      <a:graphic xmlns:a="http://schemas.openxmlformats.org/drawingml/2006/main">
                        <a:graphicData uri="http://schemas.microsoft.com/office/word/2010/wordprocessingShape">
                          <wps:wsp>
                            <wps:cNvSpPr/>
                            <wps:spPr>
                              <a:xfrm>
                                <a:off x="0" y="0"/>
                                <a:ext cx="6304915" cy="635"/>
                              </a:xfrm>
                              <a:prstGeom prst="line">
                                <a:avLst/>
                              </a:prstGeom>
                              <a:ln w="9525" cap="flat" cmpd="sng">
                                <a:solidFill>
                                  <a:srgbClr val="000000"/>
                                </a:solidFill>
                                <a:prstDash val="solid"/>
                                <a:bevel/>
                                <a:headEnd type="none" w="med" len="med"/>
                                <a:tailEnd type="none" w="med" len="med"/>
                              </a:ln>
                            </wps:spPr>
                            <wps:bodyPr upright="1"/>
                          </wps:wsp>
                        </a:graphicData>
                      </a:graphic>
                    </wp:anchor>
                  </w:drawing>
                </mc:Choice>
                <mc:Fallback>
                  <w:pict>
                    <v:line id="直接连接符 34" o:spid="_x0000_s1026" o:spt="20" style="position:absolute;left:0pt;margin-left:-6.1pt;margin-top:0pt;height:0.05pt;width:496.45pt;z-index:251660288;mso-width-relative:page;mso-height-relative:page;" filled="f" stroked="t" coordsize="21600,21600" o:gfxdata="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EK8LI0wAAAAUBAAAPAAAA&#10;AAAAAAEAIAAAACIAAABkcnMvZG93bnJldi54bWxQSwECFAAUAAAACACHTuJA1OUvreEBAACjAwAA&#10;DgAAAAAAAAABACAAAAAiAQAAZHJzL2Uyb0RvYy54bWxQSwUGAAAAAAYABgBZAQAAdQUAAAAA&#10;">
                      <v:path arrowok="t"/>
                      <v:fill on="f" focussize="0,0"/>
                      <v:stroke joinstyle="bevel"/>
                      <v:imagedata o:title=""/>
                      <o:lock v:ext="edit" grouping="f" rotation="f" text="f" aspectratio="f"/>
                    </v:line>
                  </w:pict>
                </mc:Fallback>
              </mc:AlternateContent>
            </w:r>
            <w:r>
              <w:rPr>
                <w:kern w:val="0"/>
                <w:szCs w:val="21"/>
              </w:rPr>
              <w:t>A020208</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触控一体机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A020209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刻录机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A020210</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文印设备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A02021001</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速印机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A02021002</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胶印机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A02021006</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油印机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A02021099</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其他文印设备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A020211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销毁设备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A02021101</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碎纸机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A02021199</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其他销毁设备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包括光盘、硬盘和芯片粉碎机，综合销毁设备等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A020212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条码打印机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A020213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条码扫描器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A020214</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会计机械</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包括计算器（不含义务教育科学计算器）等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A020215</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制图机械</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A020216</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打字机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A020299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其他办公设备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包括地址打印机等其他办公设备</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A0203</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车辆</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A020301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载货汽车（含自卸汽车）</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A020305</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乘用车（轿车）</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包括驾驶员座位在内不超过（含）12个座位</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A02030501</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轿车</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A02030502</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越野（吉普）车</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A02030503</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商务（面包）车</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A02030599</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其他乘用车</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A020306</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客车</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A020307</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专用车辆</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厢式、罐式专用汽车，集装箱运输车辆，科学考察车辆，工程作业车辆，雪地专用车辆，校车，消防车，布障车，清障车，排爆车，装甲防暴车，水炮车，攀登车，通讯指挥车，交通划线车，防弹车，医疗救护车，通信专用车，抢险车，殡仪车，运钞专用车，机动起重车，清洁卫生车辆，冷藏车，炊事车等特种（专业技术）用车</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A020308</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城市交通车辆</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A020309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摩托车</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A020310</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电动自行车</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A020311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轮椅车</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A020312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非机动车辆</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A020399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其他车辆</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包括牵引汽车、汽车挂车、汽车列车等其他车辆</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A0204</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图书档案设备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A020401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图书档案装具</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A020402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缩微设备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A020403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图书档案消毒设备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A020499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其他图书档案设备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A0205</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机械设备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A020504</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锅炉</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A020512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起重设备</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包括起重机、电梯、自动扶梯、自动人行道等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A020517</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机械立体停车设备</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A020523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制冷</w:t>
            </w:r>
            <w:r>
              <w:rPr>
                <w:rFonts w:hint="eastAsia"/>
                <w:kern w:val="0"/>
                <w:szCs w:val="21"/>
                <w:lang w:eastAsia="zh-CN"/>
              </w:rPr>
              <w:t>（暖）</w:t>
            </w:r>
            <w:r>
              <w:rPr>
                <w:kern w:val="0"/>
                <w:szCs w:val="21"/>
              </w:rPr>
              <w:t>空调设备</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包括中央空调</w:t>
            </w:r>
            <w:r>
              <w:rPr>
                <w:rFonts w:hint="eastAsia"/>
                <w:bCs/>
                <w:kern w:val="0"/>
                <w:szCs w:val="21"/>
                <w:lang w:eastAsia="zh-CN"/>
              </w:rPr>
              <w:t>（包括冷水机组</w:t>
            </w:r>
            <w:r>
              <w:rPr>
                <w:bCs/>
                <w:kern w:val="0"/>
                <w:szCs w:val="21"/>
              </w:rPr>
              <w:t>、</w:t>
            </w:r>
            <w:r>
              <w:rPr>
                <w:rFonts w:hint="eastAsia"/>
                <w:bCs/>
                <w:kern w:val="0"/>
                <w:szCs w:val="21"/>
                <w:lang w:eastAsia="zh-CN"/>
              </w:rPr>
              <w:t>溴化锂吸收式冷水机组、水源热泵机组等）、多联式空调（指一台或多台室外机与多台室内机组成的空调机组）等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A020599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其他机械设备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A0206</w:t>
            </w:r>
          </w:p>
        </w:tc>
        <w:tc>
          <w:tcPr>
            <w:tcW w:w="3644"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 xml:space="preserve">  电气设备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A020615</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电源设备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A02061504</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不间断电源（UPS）</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A02061599</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其他电源设备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A020618</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生活用电器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A02061801</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制冷电器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A0206180101</w:t>
            </w:r>
          </w:p>
        </w:tc>
        <w:tc>
          <w:tcPr>
            <w:tcW w:w="3644" w:type="dxa"/>
            <w:tcBorders>
              <w:top w:val="single" w:color="auto" w:sz="4" w:space="0"/>
              <w:bottom w:val="single" w:color="auto" w:sz="4" w:space="0"/>
            </w:tcBorders>
            <w:vAlign w:val="center"/>
          </w:tcPr>
          <w:p>
            <w:pPr>
              <w:widowControl/>
              <w:spacing w:beforeLines="0" w:afterLines="0" w:line="300" w:lineRule="exact"/>
              <w:ind w:firstLine="840" w:firstLineChars="400"/>
              <w:rPr>
                <w:kern w:val="0"/>
                <w:szCs w:val="21"/>
              </w:rPr>
            </w:pPr>
            <w:r>
              <w:rPr>
                <w:kern w:val="0"/>
                <w:szCs w:val="21"/>
              </w:rPr>
              <w:t>电冰箱</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A020618010101</w:t>
            </w:r>
          </w:p>
        </w:tc>
        <w:tc>
          <w:tcPr>
            <w:tcW w:w="3644" w:type="dxa"/>
            <w:tcBorders>
              <w:top w:val="single" w:color="auto" w:sz="4" w:space="0"/>
              <w:bottom w:val="single" w:color="auto" w:sz="4" w:space="0"/>
            </w:tcBorders>
            <w:vAlign w:val="center"/>
          </w:tcPr>
          <w:p>
            <w:pPr>
              <w:widowControl/>
              <w:spacing w:beforeLines="0" w:afterLines="0" w:line="300" w:lineRule="exact"/>
              <w:ind w:firstLine="1050" w:firstLineChars="500"/>
              <w:rPr>
                <w:kern w:val="0"/>
                <w:szCs w:val="21"/>
              </w:rPr>
            </w:pPr>
            <w:r>
              <w:rPr>
                <w:kern w:val="0"/>
                <w:szCs w:val="21"/>
              </w:rPr>
              <w:t>普通电冰箱</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A020618010102</w:t>
            </w:r>
          </w:p>
        </w:tc>
        <w:tc>
          <w:tcPr>
            <w:tcW w:w="3644" w:type="dxa"/>
            <w:tcBorders>
              <w:top w:val="single" w:color="auto" w:sz="4" w:space="0"/>
              <w:bottom w:val="single" w:color="auto" w:sz="4" w:space="0"/>
            </w:tcBorders>
            <w:vAlign w:val="center"/>
          </w:tcPr>
          <w:p>
            <w:pPr>
              <w:widowControl/>
              <w:spacing w:beforeLines="0" w:afterLines="0" w:line="300" w:lineRule="exact"/>
              <w:ind w:firstLine="1050" w:firstLineChars="500"/>
              <w:rPr>
                <w:kern w:val="0"/>
                <w:szCs w:val="21"/>
              </w:rPr>
            </w:pPr>
            <w:r>
              <w:rPr>
                <w:kern w:val="0"/>
                <w:szCs w:val="21"/>
              </w:rPr>
              <w:t>专用电冰箱</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mc:AlternateContent>
                <mc:Choice Requires="wps">
                  <w:drawing>
                    <wp:anchor distT="0" distB="0" distL="114300" distR="114300" simplePos="0" relativeHeight="251672576" behindDoc="0" locked="0" layoutInCell="1" allowOverlap="1">
                      <wp:simplePos x="0" y="0"/>
                      <wp:positionH relativeFrom="column">
                        <wp:posOffset>-29210</wp:posOffset>
                      </wp:positionH>
                      <wp:positionV relativeFrom="paragraph">
                        <wp:posOffset>635</wp:posOffset>
                      </wp:positionV>
                      <wp:extent cx="6285865" cy="635"/>
                      <wp:effectExtent l="0" t="0" r="0" b="0"/>
                      <wp:wrapNone/>
                      <wp:docPr id="4" name="直接连接符 33"/>
                      <wp:cNvGraphicFramePr/>
                      <a:graphic xmlns:a="http://schemas.openxmlformats.org/drawingml/2006/main">
                        <a:graphicData uri="http://schemas.microsoft.com/office/word/2010/wordprocessingShape">
                          <wps:wsp>
                            <wps:cNvSpPr/>
                            <wps:spPr>
                              <a:xfrm>
                                <a:off x="0" y="0"/>
                                <a:ext cx="6285865" cy="635"/>
                              </a:xfrm>
                              <a:prstGeom prst="line">
                                <a:avLst/>
                              </a:prstGeom>
                              <a:ln w="9525" cap="flat" cmpd="sng">
                                <a:solidFill>
                                  <a:srgbClr val="000000"/>
                                </a:solidFill>
                                <a:prstDash val="solid"/>
                                <a:bevel/>
                                <a:headEnd type="none" w="med" len="med"/>
                                <a:tailEnd type="none" w="med" len="med"/>
                              </a:ln>
                            </wps:spPr>
                            <wps:bodyPr upright="1"/>
                          </wps:wsp>
                        </a:graphicData>
                      </a:graphic>
                    </wp:anchor>
                  </w:drawing>
                </mc:Choice>
                <mc:Fallback>
                  <w:pict>
                    <v:line id="直接连接符 33" o:spid="_x0000_s1026" o:spt="20" style="position:absolute;left:0pt;margin-left:-2.3pt;margin-top:0.05pt;height:0.05pt;width:494.95pt;z-index:251672576;mso-width-relative:page;mso-height-relative:page;" filled="f" stroked="t" coordsize="21600,21600" o:gfxdata="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Lz+gtIAAAAEAQAADwAAAAAA&#10;AAABACAAAAAiAAAAZHJzL2Rvd25yZXYueG1sUEsBAhQAFAAAAAgAh07iQIabcTXgAQAAowMAAA4A&#10;AAAAAAAAAQAgAAAAIQEAAGRycy9lMm9Eb2MueG1sUEsFBgAAAAAGAAYAWQEAAHMFAAAAAA==&#10;">
                      <v:path arrowok="t"/>
                      <v:fill on="f" focussize="0,0"/>
                      <v:stroke joinstyle="bevel"/>
                      <v:imagedata o:title=""/>
                      <o:lock v:ext="edit" grouping="f" rotation="f" text="f" aspectratio="f"/>
                    </v:line>
                  </w:pict>
                </mc:Fallback>
              </mc:AlternateContent>
            </w:r>
            <w:r>
              <w:rPr>
                <w:kern w:val="0"/>
                <w:szCs w:val="21"/>
              </w:rPr>
              <w:t>A0206180102</w:t>
            </w:r>
          </w:p>
        </w:tc>
        <w:tc>
          <w:tcPr>
            <w:tcW w:w="3644" w:type="dxa"/>
            <w:tcBorders>
              <w:top w:val="single" w:color="auto" w:sz="4" w:space="0"/>
              <w:bottom w:val="single" w:color="auto" w:sz="4" w:space="0"/>
            </w:tcBorders>
            <w:vAlign w:val="center"/>
          </w:tcPr>
          <w:p>
            <w:pPr>
              <w:widowControl/>
              <w:spacing w:beforeLines="0" w:afterLines="0" w:line="300" w:lineRule="exact"/>
              <w:ind w:firstLine="840" w:firstLineChars="400"/>
              <w:rPr>
                <w:kern w:val="0"/>
                <w:szCs w:val="21"/>
              </w:rPr>
            </w:pPr>
            <w:r>
              <w:rPr>
                <w:kern w:val="0"/>
                <w:szCs w:val="21"/>
              </w:rPr>
              <w:t>冷藏柜</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A0206180199</w:t>
            </w:r>
          </w:p>
        </w:tc>
        <w:tc>
          <w:tcPr>
            <w:tcW w:w="3644" w:type="dxa"/>
            <w:tcBorders>
              <w:top w:val="single" w:color="auto" w:sz="4" w:space="0"/>
              <w:bottom w:val="single" w:color="auto" w:sz="4" w:space="0"/>
            </w:tcBorders>
            <w:vAlign w:val="center"/>
          </w:tcPr>
          <w:p>
            <w:pPr>
              <w:widowControl/>
              <w:spacing w:beforeLines="0" w:afterLines="0" w:line="300" w:lineRule="exact"/>
              <w:ind w:firstLine="840" w:firstLineChars="400"/>
              <w:rPr>
                <w:kern w:val="0"/>
                <w:szCs w:val="21"/>
              </w:rPr>
            </w:pPr>
            <w:r>
              <w:rPr>
                <w:kern w:val="0"/>
                <w:szCs w:val="21"/>
              </w:rPr>
              <w:t>其他制冷电器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A02061802</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空气调节电器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A0206180203</w:t>
            </w:r>
          </w:p>
        </w:tc>
        <w:tc>
          <w:tcPr>
            <w:tcW w:w="3644" w:type="dxa"/>
            <w:tcBorders>
              <w:top w:val="single" w:color="auto" w:sz="4" w:space="0"/>
              <w:bottom w:val="single" w:color="auto" w:sz="4" w:space="0"/>
            </w:tcBorders>
            <w:vAlign w:val="center"/>
          </w:tcPr>
          <w:p>
            <w:pPr>
              <w:widowControl/>
              <w:spacing w:beforeLines="0" w:afterLines="0" w:line="300" w:lineRule="exact"/>
              <w:ind w:firstLine="840" w:firstLineChars="400"/>
              <w:rPr>
                <w:kern w:val="0"/>
                <w:szCs w:val="21"/>
              </w:rPr>
            </w:pPr>
            <w:r>
              <w:rPr>
                <w:kern w:val="0"/>
                <w:szCs w:val="21"/>
              </w:rPr>
              <w:t>空调机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rFonts w:hint="eastAsia"/>
                <w:kern w:val="0"/>
                <w:szCs w:val="21"/>
                <w:lang w:eastAsia="zh-CN"/>
              </w:rPr>
              <w:t>指中央</w:t>
            </w:r>
            <w:r>
              <w:rPr>
                <w:kern w:val="0"/>
                <w:szCs w:val="21"/>
              </w:rPr>
              <w:t>空调</w:t>
            </w:r>
            <w:r>
              <w:rPr>
                <w:rFonts w:hint="eastAsia"/>
                <w:kern w:val="0"/>
                <w:szCs w:val="21"/>
                <w:lang w:eastAsia="zh-CN"/>
              </w:rPr>
              <w:t>、</w:t>
            </w:r>
            <w:r>
              <w:rPr>
                <w:kern w:val="0"/>
                <w:szCs w:val="21"/>
              </w:rPr>
              <w:t>多联式空调机组</w:t>
            </w:r>
            <w:r>
              <w:rPr>
                <w:rFonts w:hint="eastAsia"/>
                <w:kern w:val="0"/>
                <w:szCs w:val="21"/>
                <w:lang w:eastAsia="zh-CN"/>
              </w:rPr>
              <w:t>以外的空调</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A0206180205</w:t>
            </w:r>
          </w:p>
        </w:tc>
        <w:tc>
          <w:tcPr>
            <w:tcW w:w="3644" w:type="dxa"/>
            <w:tcBorders>
              <w:top w:val="single" w:color="auto" w:sz="4" w:space="0"/>
              <w:bottom w:val="single" w:color="auto" w:sz="4" w:space="0"/>
            </w:tcBorders>
            <w:vAlign w:val="center"/>
          </w:tcPr>
          <w:p>
            <w:pPr>
              <w:widowControl/>
              <w:spacing w:beforeLines="0" w:afterLines="0" w:line="300" w:lineRule="exact"/>
              <w:ind w:firstLine="840" w:firstLineChars="400"/>
              <w:rPr>
                <w:kern w:val="0"/>
                <w:szCs w:val="21"/>
              </w:rPr>
            </w:pPr>
            <w:r>
              <w:rPr>
                <w:kern w:val="0"/>
                <w:szCs w:val="21"/>
              </w:rPr>
              <w:t>空气净化设备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A0206180299</w:t>
            </w:r>
          </w:p>
        </w:tc>
        <w:tc>
          <w:tcPr>
            <w:tcW w:w="3644" w:type="dxa"/>
            <w:tcBorders>
              <w:top w:val="single" w:color="auto" w:sz="4" w:space="0"/>
              <w:bottom w:val="single" w:color="auto" w:sz="4" w:space="0"/>
            </w:tcBorders>
            <w:vAlign w:val="center"/>
          </w:tcPr>
          <w:p>
            <w:pPr>
              <w:widowControl/>
              <w:spacing w:beforeLines="0" w:afterLines="0" w:line="300" w:lineRule="exact"/>
              <w:ind w:firstLine="840" w:firstLineChars="400"/>
              <w:rPr>
                <w:kern w:val="0"/>
                <w:szCs w:val="21"/>
              </w:rPr>
            </w:pPr>
            <w:r>
              <w:rPr>
                <w:kern w:val="0"/>
                <w:szCs w:val="21"/>
              </w:rPr>
              <w:t>其他空气调节电器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包括风扇、通风机、空气滤洁器、排烟系统、取暖器、调湿调温机等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A02061803</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清洁卫生电器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A0206180301</w:t>
            </w:r>
          </w:p>
        </w:tc>
        <w:tc>
          <w:tcPr>
            <w:tcW w:w="3644" w:type="dxa"/>
            <w:tcBorders>
              <w:top w:val="single" w:color="auto" w:sz="4" w:space="0"/>
              <w:bottom w:val="single" w:color="auto" w:sz="4" w:space="0"/>
            </w:tcBorders>
            <w:vAlign w:val="center"/>
          </w:tcPr>
          <w:p>
            <w:pPr>
              <w:widowControl/>
              <w:spacing w:beforeLines="0" w:afterLines="0" w:line="300" w:lineRule="exact"/>
              <w:ind w:firstLine="840" w:firstLineChars="400"/>
              <w:rPr>
                <w:kern w:val="0"/>
                <w:szCs w:val="21"/>
              </w:rPr>
            </w:pPr>
            <w:r>
              <w:rPr>
                <w:kern w:val="0"/>
                <w:szCs w:val="21"/>
              </w:rPr>
              <w:t>洗衣机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A0206180302</w:t>
            </w:r>
          </w:p>
        </w:tc>
        <w:tc>
          <w:tcPr>
            <w:tcW w:w="3644" w:type="dxa"/>
            <w:tcBorders>
              <w:top w:val="single" w:color="auto" w:sz="4" w:space="0"/>
              <w:bottom w:val="single" w:color="auto" w:sz="4" w:space="0"/>
            </w:tcBorders>
            <w:vAlign w:val="center"/>
          </w:tcPr>
          <w:p>
            <w:pPr>
              <w:widowControl/>
              <w:spacing w:beforeLines="0" w:afterLines="0" w:line="300" w:lineRule="exact"/>
              <w:ind w:firstLine="840" w:firstLineChars="400"/>
              <w:rPr>
                <w:kern w:val="0"/>
                <w:szCs w:val="21"/>
              </w:rPr>
            </w:pPr>
            <w:r>
              <w:rPr>
                <w:kern w:val="0"/>
                <w:szCs w:val="21"/>
              </w:rPr>
              <w:t>吸尘器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A0206180399</w:t>
            </w:r>
          </w:p>
        </w:tc>
        <w:tc>
          <w:tcPr>
            <w:tcW w:w="3644" w:type="dxa"/>
            <w:tcBorders>
              <w:top w:val="single" w:color="auto" w:sz="4" w:space="0"/>
              <w:bottom w:val="single" w:color="auto" w:sz="4" w:space="0"/>
            </w:tcBorders>
            <w:vAlign w:val="center"/>
          </w:tcPr>
          <w:p>
            <w:pPr>
              <w:widowControl/>
              <w:spacing w:beforeLines="0" w:afterLines="0" w:line="300" w:lineRule="exact"/>
              <w:ind w:firstLine="840" w:firstLineChars="400"/>
              <w:rPr>
                <w:kern w:val="0"/>
                <w:szCs w:val="21"/>
              </w:rPr>
            </w:pPr>
            <w:r>
              <w:rPr>
                <w:kern w:val="0"/>
                <w:szCs w:val="21"/>
              </w:rPr>
              <w:t>其他清洁卫生电器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A02061807</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饮水器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包括净水机、软水机、纯水机等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A02061808</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热水器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包括太阳能集热器和集热系统、电热水器、非电热的快速热水器或储备式热水器</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A02061899</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其他生活用电器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包括熨烫电器、烹调电器、食品制备电器、美容电器、保健器具、电热卧具和服装等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A020619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照明设备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指成套灯具，不含舞台灯具</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A020699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其他电气设备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A0207</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雷达、无线电和卫星导航设备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不包括军用雷达</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A0208</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通信设备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A020801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无线电通信设备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包括通用、移动、航空、舰船、铁道、邮电、气象通信专用无线电通信设备等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A020804</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卫星通信设备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A020807</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电话通信设备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A02080701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 xml:space="preserve">  固定电话机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A02080702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 xml:space="preserve">  移动电话</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A02080799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 xml:space="preserve">  其他电话通信设备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包括电话交换设备、会议电话调度设备及市话中继设备等其他电话通信设备</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A020808</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视频会议系统设备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A020809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电报通信设备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A020810</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传真及数据数字通信设备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A02081001</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传真机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A02081099</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其他传真及数据数字通信设备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A020899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其他通信设备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A0209</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广播、电视、电影设备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A020901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广播发射设备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包括广播发射机、广播差转台，广播发射台等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A020902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电视发射设备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包括电视发射机、电视差转台、电视发射台等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A020903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广播和电视接收设备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mc:AlternateContent>
                <mc:Choice Requires="wps">
                  <w:drawing>
                    <wp:anchor distT="0" distB="0" distL="114300" distR="114300" simplePos="0" relativeHeight="251670528" behindDoc="0" locked="0" layoutInCell="1" allowOverlap="1">
                      <wp:simplePos x="0" y="0"/>
                      <wp:positionH relativeFrom="column">
                        <wp:posOffset>-77470</wp:posOffset>
                      </wp:positionH>
                      <wp:positionV relativeFrom="paragraph">
                        <wp:posOffset>0</wp:posOffset>
                      </wp:positionV>
                      <wp:extent cx="6304915" cy="635"/>
                      <wp:effectExtent l="0" t="0" r="0" b="0"/>
                      <wp:wrapNone/>
                      <wp:docPr id="5" name="直接连接符 29"/>
                      <wp:cNvGraphicFramePr/>
                      <a:graphic xmlns:a="http://schemas.openxmlformats.org/drawingml/2006/main">
                        <a:graphicData uri="http://schemas.microsoft.com/office/word/2010/wordprocessingShape">
                          <wps:wsp>
                            <wps:cNvSpPr/>
                            <wps:spPr>
                              <a:xfrm>
                                <a:off x="0" y="0"/>
                                <a:ext cx="6304915" cy="635"/>
                              </a:xfrm>
                              <a:prstGeom prst="line">
                                <a:avLst/>
                              </a:prstGeom>
                              <a:ln w="9525" cap="flat" cmpd="sng">
                                <a:solidFill>
                                  <a:srgbClr val="000000"/>
                                </a:solidFill>
                                <a:prstDash val="solid"/>
                                <a:bevel/>
                                <a:headEnd type="none" w="med" len="med"/>
                                <a:tailEnd type="none" w="med" len="med"/>
                              </a:ln>
                            </wps:spPr>
                            <wps:bodyPr upright="1"/>
                          </wps:wsp>
                        </a:graphicData>
                      </a:graphic>
                    </wp:anchor>
                  </w:drawing>
                </mc:Choice>
                <mc:Fallback>
                  <w:pict>
                    <v:line id="直接连接符 29" o:spid="_x0000_s1026" o:spt="20" style="position:absolute;left:0pt;margin-left:-6.1pt;margin-top:0pt;height:0.05pt;width:496.45pt;z-index:251670528;mso-width-relative:page;mso-height-relative:page;" filled="f" stroked="t" coordsize="21600,21600" o:gfxdata="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QrwsjTAAAABQEAAA8AAAAA&#10;AAAAAQAgAAAAIgAAAGRycy9kb3ducmV2LnhtbFBLAQIUABQAAAAIAIdO4kAe+/5r4AEAAKMDAAAO&#10;AAAAAAAAAAEAIAAAACIBAABkcnMvZTJvRG9jLnhtbFBLBQYAAAAABgAGAFkBAAB0BQAAAAA=&#10;">
                      <v:path arrowok="t"/>
                      <v:fill on="f" focussize="0,0"/>
                      <v:stroke joinstyle="bevel"/>
                      <v:imagedata o:title=""/>
                      <o:lock v:ext="edit" grouping="f" rotation="f" text="f" aspectratio="f"/>
                    </v:line>
                  </w:pict>
                </mc:Fallback>
              </mc:AlternateContent>
            </w:r>
            <w:r>
              <w:rPr>
                <w:kern w:val="0"/>
                <w:szCs w:val="21"/>
              </w:rPr>
              <w:t>A020904</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音频节目制作和播控设备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A020905</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视频节目制作和播控设备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A020910</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电视设备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A02091001</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普通电视设备（电视机）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A02091099</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其他电视设备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A020911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视频设备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A02091102</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通用摄像机</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A02091107</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视频监控设备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包括监控摄像机、报警传感器、数字硬盘录像机、视屏分割器、监控电视墙（拼接显示器）、监视器、门禁系统等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A02091199</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其他视频设备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包括录像机、摄录一体机、平板显示设备、电视唱盘、激光视盘机、视屏处理器、虚拟演播室设备、字幕机等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A020912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音频设备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包括录放音机、收音机、话筒设备、数码音频工作站、扩音设备、音箱、复读机、语音语言实验室设备等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A020913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组合音像设备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包括音视频播放设备，闭路播放设备，同声翻译设备，会议、广播及音乐欣赏系统</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A020915</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电影设备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A020999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其他广播、电视、电影设备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A0210</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仪器仪表</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A021001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bCs/>
                <w:kern w:val="0"/>
                <w:szCs w:val="21"/>
              </w:rPr>
            </w:pPr>
            <w:r>
              <w:rPr>
                <w:bCs/>
                <w:kern w:val="0"/>
                <w:szCs w:val="21"/>
              </w:rPr>
              <w:t>自动化仪表</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A021002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bCs/>
                <w:kern w:val="0"/>
                <w:szCs w:val="21"/>
              </w:rPr>
            </w:pPr>
            <w:r>
              <w:rPr>
                <w:bCs/>
                <w:kern w:val="0"/>
                <w:szCs w:val="21"/>
              </w:rPr>
              <w:t>电工仪器仪表</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A021003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bCs/>
                <w:kern w:val="0"/>
                <w:szCs w:val="21"/>
              </w:rPr>
            </w:pPr>
            <w:r>
              <w:rPr>
                <w:bCs/>
                <w:kern w:val="0"/>
                <w:szCs w:val="21"/>
              </w:rPr>
              <w:t>光学仪器</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A021004</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bCs/>
                <w:kern w:val="0"/>
                <w:szCs w:val="21"/>
              </w:rPr>
            </w:pPr>
            <w:r>
              <w:rPr>
                <w:bCs/>
                <w:kern w:val="0"/>
                <w:szCs w:val="21"/>
              </w:rPr>
              <w:t>分析仪器</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A021005</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bCs/>
                <w:kern w:val="0"/>
                <w:szCs w:val="21"/>
              </w:rPr>
            </w:pPr>
            <w:r>
              <w:rPr>
                <w:bCs/>
                <w:kern w:val="0"/>
                <w:szCs w:val="21"/>
              </w:rPr>
              <w:t>试验机</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A021006</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bCs/>
                <w:kern w:val="0"/>
                <w:szCs w:val="21"/>
              </w:rPr>
            </w:pPr>
            <w:r>
              <w:rPr>
                <w:bCs/>
                <w:kern w:val="0"/>
                <w:szCs w:val="21"/>
              </w:rPr>
              <w:t>试验仪器及装置</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A021007</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bCs/>
                <w:kern w:val="0"/>
                <w:szCs w:val="21"/>
              </w:rPr>
            </w:pPr>
            <w:r>
              <w:rPr>
                <w:bCs/>
                <w:kern w:val="0"/>
                <w:szCs w:val="21"/>
              </w:rPr>
              <w:t>计算仪器</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A021008</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bCs/>
                <w:kern w:val="0"/>
                <w:szCs w:val="21"/>
              </w:rPr>
            </w:pPr>
            <w:r>
              <w:rPr>
                <w:bCs/>
                <w:kern w:val="0"/>
                <w:szCs w:val="21"/>
              </w:rPr>
              <w:t>量仪</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A021009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bCs/>
                <w:kern w:val="0"/>
                <w:szCs w:val="21"/>
              </w:rPr>
            </w:pPr>
            <w:r>
              <w:rPr>
                <w:bCs/>
                <w:kern w:val="0"/>
                <w:szCs w:val="21"/>
              </w:rPr>
              <w:t>钟表及定时仪器</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A021099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bCs/>
                <w:kern w:val="0"/>
                <w:szCs w:val="21"/>
              </w:rPr>
            </w:pPr>
            <w:r>
              <w:rPr>
                <w:bCs/>
                <w:kern w:val="0"/>
                <w:szCs w:val="21"/>
              </w:rPr>
              <w:t>其他仪器仪表</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A0211</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电子和通信测量仪器</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A0212</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计量标准器具及量具、衡器</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w:t>
            </w:r>
          </w:p>
        </w:tc>
        <w:tc>
          <w:tcPr>
            <w:tcW w:w="3644"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专用设备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0</wp:posOffset>
                      </wp:positionV>
                      <wp:extent cx="6312535" cy="635"/>
                      <wp:effectExtent l="0" t="0" r="0" b="0"/>
                      <wp:wrapNone/>
                      <wp:docPr id="6" name="直接连接符 28"/>
                      <wp:cNvGraphicFramePr/>
                      <a:graphic xmlns:a="http://schemas.openxmlformats.org/drawingml/2006/main">
                        <a:graphicData uri="http://schemas.microsoft.com/office/word/2010/wordprocessingShape">
                          <wps:wsp>
                            <wps:cNvSpPr/>
                            <wps:spPr>
                              <a:xfrm>
                                <a:off x="0" y="0"/>
                                <a:ext cx="6312535" cy="635"/>
                              </a:xfrm>
                              <a:prstGeom prst="line">
                                <a:avLst/>
                              </a:prstGeom>
                              <a:ln w="9525" cap="flat" cmpd="sng">
                                <a:solidFill>
                                  <a:srgbClr val="000000"/>
                                </a:solidFill>
                                <a:prstDash val="solid"/>
                                <a:bevel/>
                                <a:headEnd type="none" w="med" len="med"/>
                                <a:tailEnd type="none" w="med" len="med"/>
                              </a:ln>
                            </wps:spPr>
                            <wps:bodyPr upright="1"/>
                          </wps:wsp>
                        </a:graphicData>
                      </a:graphic>
                    </wp:anchor>
                  </w:drawing>
                </mc:Choice>
                <mc:Fallback>
                  <w:pict>
                    <v:line id="直接连接符 28" o:spid="_x0000_s1026" o:spt="20" style="position:absolute;left:0pt;margin-left:-6.1pt;margin-top:0pt;height:0.05pt;width:497.05pt;z-index:251661312;mso-width-relative:page;mso-height-relative:page;" filled="f" stroked="t" coordsize="21600,21600" o:gfxdata="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JyD2jTAAAABQEAAA8AAAAA&#10;AAAAAQAgAAAAIgAAAGRycy9kb3ducmV2LnhtbFBLAQIUABQAAAAIAIdO4kAc6uPm4AEAAKMDAAAO&#10;AAAAAAAAAAEAIAAAACIBAABkcnMvZTJvRG9jLnhtbFBLBQYAAAAABgAGAFkBAAB0BQAAAAA=&#10;">
                      <v:path arrowok="t"/>
                      <v:fill on="f" focussize="0,0"/>
                      <v:stroke joinstyle="bevel"/>
                      <v:imagedata o:title=""/>
                      <o:lock v:ext="edit" grouping="f" rotation="f" text="f" aspectratio="f"/>
                    </v:line>
                  </w:pict>
                </mc:Fallback>
              </mc:AlternateContent>
            </w:r>
            <w:r>
              <w:rPr>
                <w:bCs/>
                <w:kern w:val="0"/>
                <w:szCs w:val="21"/>
              </w:rPr>
              <w:t>A0309</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工程机械</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A0310</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农业和林业机械</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A0318</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造纸和印刷机械</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A0319</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化学药品和中药专用设备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A0320</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医疗设备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A032001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手术器械</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A032002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普通诊察器械</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A032003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医用电子生理参数检测仪器设备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A032004</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医用光学仪器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A032005</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医用超声波仪器及设备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A032006</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医用激光仪器及设备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A032007</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医用内窥镜</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A032008</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物理治疗、康复及体育治疗仪器设备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A032009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中医器械设备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A032010</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医用磁共振设备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A032011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医用X线设备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color w:val="FF0000"/>
                <w:kern w:val="0"/>
                <w:szCs w:val="21"/>
              </w:rPr>
              <w:t>A032012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color w:val="FF0000"/>
                <w:kern w:val="0"/>
                <w:szCs w:val="21"/>
              </w:rPr>
            </w:pPr>
            <w:r>
              <w:rPr>
                <w:color w:val="FF0000"/>
                <w:kern w:val="0"/>
                <w:szCs w:val="21"/>
              </w:rPr>
              <w:t>医用X线附属设备及部件</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p>
        </w:tc>
        <w:tc>
          <w:tcPr>
            <w:tcW w:w="2417" w:type="dxa"/>
            <w:tcBorders>
              <w:top w:val="single" w:color="auto" w:sz="4" w:space="0"/>
              <w:bottom w:val="single" w:color="auto" w:sz="4" w:space="0"/>
              <w:right w:val="single" w:color="auto" w:sz="4" w:space="0"/>
            </w:tcBorders>
            <w:vAlign w:val="center"/>
          </w:tcPr>
          <w:p>
            <w:pPr>
              <w:spacing w:beforeLines="0" w:afterLines="0" w:line="300" w:lineRule="exact"/>
              <w:rPr>
                <w:rFonts w:eastAsia="宋体"/>
                <w:color w:val="FF0000"/>
                <w:szCs w:val="24"/>
              </w:rPr>
            </w:pPr>
            <w:r>
              <w:rPr>
                <w:rFonts w:hint="eastAsia"/>
                <w:kern w:val="0"/>
                <w:szCs w:val="21"/>
                <w:lang w:val="en-US" w:eastAsia="zh-CN"/>
              </w:rPr>
              <w:t>仅限省级</w:t>
            </w:r>
            <w:r>
              <w:rPr>
                <w:rFonts w:hint="eastAsia"/>
                <w:color w:val="FF0000"/>
                <w:szCs w:val="24"/>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A032013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医用高能射线设备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A032014</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核医学设备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color w:val="FF0000"/>
                <w:kern w:val="0"/>
                <w:szCs w:val="21"/>
              </w:rPr>
              <w:t>A032015</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color w:val="FF0000"/>
                <w:kern w:val="0"/>
                <w:szCs w:val="21"/>
              </w:rPr>
            </w:pPr>
            <w:r>
              <w:rPr>
                <w:color w:val="FF0000"/>
                <w:kern w:val="0"/>
                <w:szCs w:val="21"/>
              </w:rPr>
              <w:t>医用射线防护设备</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仅限省级</w:t>
            </w:r>
            <w:r>
              <w:rPr>
                <w:color w:val="FF0000"/>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A032016</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医用射线监检测设备及用具</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A032017</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临床检验设备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A032018</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药房设备及器具</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A032019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体外循环设备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auto"/>
                <w:kern w:val="0"/>
                <w:szCs w:val="21"/>
              </w:rPr>
            </w:pPr>
            <w:r>
              <w:rPr>
                <w:color w:val="auto"/>
                <w:kern w:val="0"/>
                <w:szCs w:val="21"/>
              </w:rPr>
              <w:t>A032020</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color w:val="auto"/>
                <w:kern w:val="0"/>
                <w:szCs w:val="21"/>
              </w:rPr>
            </w:pPr>
            <w:r>
              <w:rPr>
                <w:color w:val="auto"/>
                <w:kern w:val="0"/>
                <w:szCs w:val="21"/>
              </w:rPr>
              <w:t>人工脏器及功能辅助装置</w:t>
            </w:r>
          </w:p>
        </w:tc>
        <w:tc>
          <w:tcPr>
            <w:tcW w:w="2161" w:type="dxa"/>
            <w:tcBorders>
              <w:top w:val="single" w:color="auto" w:sz="4" w:space="0"/>
              <w:bottom w:val="single" w:color="auto" w:sz="4" w:space="0"/>
            </w:tcBorders>
            <w:vAlign w:val="center"/>
          </w:tcPr>
          <w:p>
            <w:pPr>
              <w:widowControl/>
              <w:spacing w:beforeLines="0" w:afterLines="0" w:line="300" w:lineRule="exact"/>
              <w:rPr>
                <w:color w:val="auto"/>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auto"/>
                <w:kern w:val="0"/>
                <w:szCs w:val="21"/>
              </w:rPr>
            </w:pPr>
            <w:r>
              <w:rPr>
                <w:rFonts w:hint="eastAsia"/>
                <w:color w:val="auto"/>
                <w:kern w:val="0"/>
                <w:szCs w:val="21"/>
                <w:lang w:val="en-US" w:eastAsia="zh-CN"/>
              </w:rPr>
              <w:t>仅限省级</w:t>
            </w:r>
            <w:r>
              <w:rPr>
                <w:color w:val="auto"/>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auto"/>
                <w:kern w:val="0"/>
                <w:szCs w:val="21"/>
              </w:rPr>
            </w:pPr>
            <w:r>
              <w:rPr>
                <w:color w:val="auto"/>
                <w:kern w:val="0"/>
                <w:szCs w:val="21"/>
              </w:rPr>
              <w:t>A032022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color w:val="auto"/>
                <w:kern w:val="0"/>
                <w:szCs w:val="21"/>
              </w:rPr>
            </w:pPr>
            <w:r>
              <w:rPr>
                <w:color w:val="auto"/>
                <w:kern w:val="0"/>
                <w:szCs w:val="21"/>
              </w:rPr>
              <w:t>手术急救设备及器具</w:t>
            </w:r>
          </w:p>
        </w:tc>
        <w:tc>
          <w:tcPr>
            <w:tcW w:w="2161" w:type="dxa"/>
            <w:tcBorders>
              <w:top w:val="single" w:color="auto" w:sz="4" w:space="0"/>
              <w:bottom w:val="single" w:color="auto" w:sz="4" w:space="0"/>
            </w:tcBorders>
            <w:vAlign w:val="center"/>
          </w:tcPr>
          <w:p>
            <w:pPr>
              <w:widowControl/>
              <w:spacing w:beforeLines="0" w:afterLines="0" w:line="300" w:lineRule="exact"/>
              <w:rPr>
                <w:color w:val="auto"/>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auto"/>
                <w:kern w:val="0"/>
                <w:szCs w:val="21"/>
              </w:rPr>
            </w:pPr>
            <w:r>
              <w:rPr>
                <w:rFonts w:hint="eastAsia"/>
                <w:color w:val="auto"/>
                <w:kern w:val="0"/>
                <w:szCs w:val="21"/>
                <w:lang w:val="en-US" w:eastAsia="zh-CN"/>
              </w:rPr>
              <w:t>仅限省级</w:t>
            </w:r>
            <w:r>
              <w:rPr>
                <w:color w:val="auto"/>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auto"/>
                <w:kern w:val="0"/>
                <w:szCs w:val="21"/>
              </w:rPr>
            </w:pPr>
            <w:r>
              <w:rPr>
                <w:color w:val="auto"/>
                <w:kern w:val="0"/>
                <w:szCs w:val="21"/>
              </w:rPr>
              <w:t>A032023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color w:val="auto"/>
                <w:kern w:val="0"/>
                <w:szCs w:val="21"/>
              </w:rPr>
            </w:pPr>
            <w:r>
              <w:rPr>
                <w:color w:val="auto"/>
                <w:kern w:val="0"/>
                <w:szCs w:val="21"/>
              </w:rPr>
              <w:t>口腔科设备及技工室器具</w:t>
            </w:r>
          </w:p>
        </w:tc>
        <w:tc>
          <w:tcPr>
            <w:tcW w:w="2161" w:type="dxa"/>
            <w:tcBorders>
              <w:top w:val="single" w:color="auto" w:sz="4" w:space="0"/>
              <w:bottom w:val="single" w:color="auto" w:sz="4" w:space="0"/>
            </w:tcBorders>
            <w:vAlign w:val="center"/>
          </w:tcPr>
          <w:p>
            <w:pPr>
              <w:widowControl/>
              <w:spacing w:beforeLines="0" w:afterLines="0" w:line="300" w:lineRule="exact"/>
              <w:rPr>
                <w:color w:val="auto"/>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auto"/>
                <w:kern w:val="0"/>
                <w:szCs w:val="21"/>
              </w:rPr>
            </w:pPr>
            <w:r>
              <w:rPr>
                <w:rFonts w:hint="eastAsia"/>
                <w:color w:val="auto"/>
                <w:kern w:val="0"/>
                <w:szCs w:val="21"/>
                <w:lang w:val="en-US" w:eastAsia="zh-CN"/>
              </w:rPr>
              <w:t>仅限省级</w:t>
            </w:r>
            <w:r>
              <w:rPr>
                <w:color w:val="auto"/>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auto"/>
                <w:kern w:val="0"/>
                <w:szCs w:val="21"/>
              </w:rPr>
            </w:pPr>
            <w:r>
              <w:rPr>
                <w:color w:val="auto"/>
                <w:kern w:val="0"/>
                <w:szCs w:val="21"/>
              </w:rPr>
              <w:t>A032024</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color w:val="auto"/>
                <w:kern w:val="0"/>
                <w:szCs w:val="21"/>
              </w:rPr>
            </w:pPr>
            <w:r>
              <w:rPr>
                <w:color w:val="auto"/>
                <w:kern w:val="0"/>
                <w:szCs w:val="21"/>
              </w:rPr>
              <w:t>病房护理及医院通用设备</w:t>
            </w:r>
          </w:p>
        </w:tc>
        <w:tc>
          <w:tcPr>
            <w:tcW w:w="2161" w:type="dxa"/>
            <w:tcBorders>
              <w:top w:val="single" w:color="auto" w:sz="4" w:space="0"/>
              <w:bottom w:val="single" w:color="auto" w:sz="4" w:space="0"/>
            </w:tcBorders>
            <w:vAlign w:val="center"/>
          </w:tcPr>
          <w:p>
            <w:pPr>
              <w:widowControl/>
              <w:spacing w:beforeLines="0" w:afterLines="0" w:line="300" w:lineRule="exact"/>
              <w:rPr>
                <w:color w:val="auto"/>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auto"/>
                <w:kern w:val="0"/>
                <w:szCs w:val="21"/>
              </w:rPr>
            </w:pPr>
            <w:r>
              <w:rPr>
                <w:rFonts w:hint="eastAsia"/>
                <w:color w:val="auto"/>
                <w:kern w:val="0"/>
                <w:szCs w:val="21"/>
                <w:lang w:val="en-US" w:eastAsia="zh-CN"/>
              </w:rPr>
              <w:t>仅限省级</w:t>
            </w:r>
            <w:r>
              <w:rPr>
                <w:color w:val="auto"/>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A032025</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消毒灭菌设备及器具</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A032026</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医用低温、冷疗设备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A032027</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防疫、防护卫生装备及器具</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A032028</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助残器具</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A032031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兽医设备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A032032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医疗设备零部件</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A032033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属于国际招标的医疗设备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A032099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其他医疗设备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color w:val="auto"/>
                <w:kern w:val="0"/>
                <w:szCs w:val="21"/>
              </w:rPr>
            </w:pPr>
            <w:r>
              <w:rPr>
                <w:bCs/>
                <w:color w:val="auto"/>
                <w:kern w:val="0"/>
                <w:szCs w:val="21"/>
              </w:rPr>
              <w:t>A032</w:t>
            </w:r>
            <w:r>
              <w:rPr>
                <w:rFonts w:hint="eastAsia"/>
                <w:bCs/>
                <w:color w:val="auto"/>
                <w:kern w:val="0"/>
                <w:szCs w:val="21"/>
              </w:rPr>
              <w:t>1</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color w:val="auto"/>
                <w:kern w:val="0"/>
                <w:szCs w:val="21"/>
              </w:rPr>
            </w:pPr>
            <w:r>
              <w:rPr>
                <w:rFonts w:hint="eastAsia"/>
                <w:bCs/>
                <w:color w:val="auto"/>
                <w:kern w:val="0"/>
                <w:szCs w:val="21"/>
              </w:rPr>
              <w:t>计划生育避孕药具</w:t>
            </w:r>
          </w:p>
        </w:tc>
        <w:tc>
          <w:tcPr>
            <w:tcW w:w="2161" w:type="dxa"/>
            <w:tcBorders>
              <w:top w:val="single" w:color="auto" w:sz="4" w:space="0"/>
              <w:bottom w:val="single" w:color="auto" w:sz="4" w:space="0"/>
            </w:tcBorders>
            <w:vAlign w:val="center"/>
          </w:tcPr>
          <w:p>
            <w:pPr>
              <w:widowControl/>
              <w:spacing w:beforeLines="0" w:afterLines="0" w:line="300" w:lineRule="exact"/>
              <w:rPr>
                <w:color w:val="auto"/>
                <w:kern w:val="0"/>
                <w:szCs w:val="21"/>
              </w:rPr>
            </w:pPr>
            <w:r>
              <w:rPr>
                <w:rFonts w:hint="eastAsia"/>
                <w:color w:val="auto"/>
                <w:kern w:val="0"/>
                <w:szCs w:val="21"/>
              </w:rPr>
              <w:t>包括宫内节育器、避孕套、避孕药注射液、避孕药片剂、外用避孕药和皮下埋植剂等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rFonts w:hint="eastAsia" w:eastAsia="宋体"/>
                <w:color w:val="auto"/>
                <w:kern w:val="0"/>
                <w:szCs w:val="21"/>
                <w:lang w:eastAsia="zh-CN"/>
              </w:rPr>
            </w:pPr>
            <w:r>
              <w:rPr>
                <w:rFonts w:hint="eastAsia"/>
                <w:color w:val="auto"/>
                <w:kern w:val="0"/>
                <w:szCs w:val="21"/>
                <w:lang w:val="en-US" w:eastAsia="zh-CN"/>
              </w:rPr>
              <w:t>全省统一集中采购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A0324</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环境污染防治设备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A032401</w:t>
            </w:r>
          </w:p>
        </w:tc>
        <w:tc>
          <w:tcPr>
            <w:tcW w:w="3644" w:type="dxa"/>
            <w:tcBorders>
              <w:top w:val="single" w:color="auto" w:sz="4" w:space="0"/>
              <w:bottom w:val="single" w:color="auto" w:sz="4" w:space="0"/>
            </w:tcBorders>
            <w:vAlign w:val="center"/>
          </w:tcPr>
          <w:p>
            <w:pPr>
              <w:widowControl/>
              <w:spacing w:beforeLines="0" w:afterLines="0" w:line="300" w:lineRule="exact"/>
              <w:ind w:firstLine="420"/>
              <w:rPr>
                <w:kern w:val="0"/>
                <w:szCs w:val="21"/>
              </w:rPr>
            </w:pPr>
            <w:r>
              <w:rPr>
                <w:kern w:val="0"/>
                <w:szCs w:val="21"/>
              </w:rPr>
              <w:t>大气污染防治设备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rFonts w:hint="eastAsia"/>
                <w:kern w:val="0"/>
                <w:szCs w:val="21"/>
              </w:rPr>
              <w:t>药片剂</w:t>
            </w:r>
            <w:r>
              <w:rPr>
                <w:kern w:val="0"/>
                <w:szCs w:val="21"/>
              </w:rPr>
              <w:t>A032402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水质污染防治设备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A032403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固体废弃物处理设备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A032404</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噪声控制设备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A032405</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环保监测设备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A032499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其他环境污染防治设备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包括金属和非金属废料回收设备、核与辐射安全设备等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A0325</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政法、检测专用设备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A032501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消防设备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武警消防部队区域专用</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A03250101</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消防人员个人防护装备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由省消防总队实行部门集中采购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A03250102</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消防专用车辆装备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由各消防支队实行部门集中采购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A03250103</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消防器具、器材装备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由各消防支队实行部门集中采购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A032502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交通管理设备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A032507</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警械设备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A032599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其他政法、检测专用设备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A0329</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殡葬设备及用品</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A0330</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铁路运输设备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A0331</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水上交通运输设备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A0332</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航空器及其配套设备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A0333</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海洋仪器设备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A0334</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专用仪器仪表</w:t>
            </w:r>
          </w:p>
        </w:tc>
        <w:tc>
          <w:tcPr>
            <w:tcW w:w="2161" w:type="dxa"/>
            <w:tcBorders>
              <w:top w:val="single" w:color="auto" w:sz="4" w:space="0"/>
              <w:bottom w:val="single" w:color="auto" w:sz="4" w:space="0"/>
            </w:tcBorders>
            <w:vAlign w:val="center"/>
          </w:tcPr>
          <w:p>
            <w:pPr>
              <w:widowControl/>
              <w:spacing w:beforeLines="0" w:afterLines="0" w:line="300" w:lineRule="exact"/>
              <w:rPr>
                <w:b/>
                <w:bCs/>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A033401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农林牧渔专用仪器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A033402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地质勘探、钻采及人工地震仪器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A033403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地震专用仪器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mc:AlternateContent>
                <mc:Choice Requires="wps">
                  <w:drawing>
                    <wp:anchor distT="0" distB="0" distL="114300" distR="114300" simplePos="0" relativeHeight="251662336" behindDoc="0" locked="0" layoutInCell="1" allowOverlap="1">
                      <wp:simplePos x="0" y="0"/>
                      <wp:positionH relativeFrom="column">
                        <wp:posOffset>-77470</wp:posOffset>
                      </wp:positionH>
                      <wp:positionV relativeFrom="paragraph">
                        <wp:posOffset>0</wp:posOffset>
                      </wp:positionV>
                      <wp:extent cx="6312535" cy="635"/>
                      <wp:effectExtent l="0" t="0" r="0" b="0"/>
                      <wp:wrapNone/>
                      <wp:docPr id="7" name="直接连接符 24"/>
                      <wp:cNvGraphicFramePr/>
                      <a:graphic xmlns:a="http://schemas.openxmlformats.org/drawingml/2006/main">
                        <a:graphicData uri="http://schemas.microsoft.com/office/word/2010/wordprocessingShape">
                          <wps:wsp>
                            <wps:cNvSpPr/>
                            <wps:spPr>
                              <a:xfrm>
                                <a:off x="0" y="0"/>
                                <a:ext cx="6312535" cy="635"/>
                              </a:xfrm>
                              <a:prstGeom prst="line">
                                <a:avLst/>
                              </a:prstGeom>
                              <a:ln w="9525" cap="flat" cmpd="sng">
                                <a:solidFill>
                                  <a:srgbClr val="000000"/>
                                </a:solidFill>
                                <a:prstDash val="solid"/>
                                <a:bevel/>
                                <a:headEnd type="none" w="med" len="med"/>
                                <a:tailEnd type="none" w="med" len="med"/>
                              </a:ln>
                            </wps:spPr>
                            <wps:bodyPr upright="1"/>
                          </wps:wsp>
                        </a:graphicData>
                      </a:graphic>
                    </wp:anchor>
                  </w:drawing>
                </mc:Choice>
                <mc:Fallback>
                  <w:pict>
                    <v:line id="直接连接符 24" o:spid="_x0000_s1026" o:spt="20" style="position:absolute;left:0pt;margin-left:-6.1pt;margin-top:0pt;height:0.05pt;width:497.05pt;z-index:251662336;mso-width-relative:page;mso-height-relative:page;" filled="f" stroked="t" coordsize="21600,21600" o:gfxdata="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JyD2jTAAAABQEAAA8AAAAA&#10;AAAAAQAgAAAAIgAAAGRycy9kb3ducmV2LnhtbFBLAQIUABQAAAAIAIdO4kCZY/Op4AEAAKMDAAAO&#10;AAAAAAAAAAEAIAAAACIBAABkcnMvZTJvRG9jLnhtbFBLBQYAAAAABgAGAFkBAAB0BQAAAAA=&#10;">
                      <v:path arrowok="t"/>
                      <v:fill on="f" focussize="0,0"/>
                      <v:stroke joinstyle="bevel"/>
                      <v:imagedata o:title=""/>
                      <o:lock v:ext="edit" grouping="f" rotation="f" text="f" aspectratio="f"/>
                    </v:line>
                  </w:pict>
                </mc:Fallback>
              </mc:AlternateContent>
            </w:r>
            <w:r>
              <w:rPr>
                <w:kern w:val="0"/>
                <w:szCs w:val="21"/>
              </w:rPr>
              <w:t>A033404</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安全用仪器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mc:AlternateContent>
                <mc:Choice Requires="wps">
                  <w:drawing>
                    <wp:anchor distT="0" distB="0" distL="114300" distR="114300" simplePos="0" relativeHeight="251671552" behindDoc="0" locked="0" layoutInCell="1" allowOverlap="1">
                      <wp:simplePos x="0" y="0"/>
                      <wp:positionH relativeFrom="column">
                        <wp:posOffset>-69215</wp:posOffset>
                      </wp:positionH>
                      <wp:positionV relativeFrom="paragraph">
                        <wp:posOffset>0</wp:posOffset>
                      </wp:positionV>
                      <wp:extent cx="6296660" cy="635"/>
                      <wp:effectExtent l="0" t="0" r="0" b="0"/>
                      <wp:wrapNone/>
                      <wp:docPr id="8" name="直接连接符 23"/>
                      <wp:cNvGraphicFramePr/>
                      <a:graphic xmlns:a="http://schemas.openxmlformats.org/drawingml/2006/main">
                        <a:graphicData uri="http://schemas.microsoft.com/office/word/2010/wordprocessingShape">
                          <wps:wsp>
                            <wps:cNvSpPr/>
                            <wps:spPr>
                              <a:xfrm>
                                <a:off x="0" y="0"/>
                                <a:ext cx="6296660" cy="635"/>
                              </a:xfrm>
                              <a:prstGeom prst="line">
                                <a:avLst/>
                              </a:prstGeom>
                              <a:ln w="9525" cap="flat" cmpd="sng">
                                <a:solidFill>
                                  <a:srgbClr val="000000"/>
                                </a:solidFill>
                                <a:prstDash val="solid"/>
                                <a:bevel/>
                                <a:headEnd type="none" w="med" len="med"/>
                                <a:tailEnd type="none" w="med" len="med"/>
                              </a:ln>
                            </wps:spPr>
                            <wps:bodyPr upright="1"/>
                          </wps:wsp>
                        </a:graphicData>
                      </a:graphic>
                    </wp:anchor>
                  </w:drawing>
                </mc:Choice>
                <mc:Fallback>
                  <w:pict>
                    <v:line id="直接连接符 23" o:spid="_x0000_s1026" o:spt="20" style="position:absolute;left:0pt;margin-left:-5.45pt;margin-top:0pt;height:0.05pt;width:495.8pt;z-index:251671552;mso-width-relative:page;mso-height-relative:page;" filled="f" stroked="t" coordsize="21600,21600" o:gfxdata="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PVOT0wAAAAUBAAAPAAAA&#10;AAAAAAEAIAAAACIAAABkcnMvZG93bnJldi54bWxQSwECFAAUAAAACACHTuJAkCamYuEBAACjAwAA&#10;DgAAAAAAAAABACAAAAAiAQAAZHJzL2Uyb0RvYy54bWxQSwUGAAAAAAYABgBZAQAAdQUAAAAA&#10;">
                      <v:path arrowok="t"/>
                      <v:fill on="f" focussize="0,0"/>
                      <v:stroke joinstyle="bevel"/>
                      <v:imagedata o:title=""/>
                      <o:lock v:ext="edit" grouping="f" rotation="f" text="f" aspectratio="f"/>
                    </v:line>
                  </w:pict>
                </mc:Fallback>
              </mc:AlternateContent>
            </w:r>
            <w:r>
              <w:rPr>
                <w:kern w:val="0"/>
                <w:szCs w:val="21"/>
              </w:rPr>
              <w:t>A033405</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大坝观测仪器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A033406</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电站热工仪表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A033407</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电力数字仪表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A033408</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气象仪器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A033409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水文仪器设备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A033410</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测绘专用仪器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A033411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天文仪器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A033412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教学专用仪器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A03341201</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普教仪器设备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高中</w:t>
            </w:r>
            <w:r>
              <w:rPr>
                <w:rFonts w:hint="eastAsia"/>
                <w:kern w:val="0"/>
                <w:szCs w:val="21"/>
                <w:lang w:eastAsia="zh-CN"/>
              </w:rPr>
              <w:t>（</w:t>
            </w:r>
            <w:r>
              <w:rPr>
                <w:rFonts w:hint="eastAsia"/>
                <w:kern w:val="0"/>
                <w:szCs w:val="21"/>
                <w:lang w:val="en-US" w:eastAsia="zh-CN"/>
              </w:rPr>
              <w:t>含）</w:t>
            </w:r>
            <w:r>
              <w:rPr>
                <w:kern w:val="0"/>
                <w:szCs w:val="21"/>
              </w:rPr>
              <w:t>以下学校各类实验室及专用功能教室</w:t>
            </w:r>
            <w:r>
              <w:rPr>
                <w:rFonts w:hint="eastAsia"/>
                <w:kern w:val="0"/>
                <w:szCs w:val="21"/>
              </w:rPr>
              <w:t>、</w:t>
            </w:r>
            <w:r>
              <w:rPr>
                <w:rFonts w:hint="eastAsia"/>
                <w:color w:val="auto"/>
                <w:kern w:val="0"/>
                <w:szCs w:val="21"/>
              </w:rPr>
              <w:t>学科教室、创新实验室</w:t>
            </w:r>
            <w:r>
              <w:rPr>
                <w:kern w:val="0"/>
                <w:szCs w:val="21"/>
              </w:rPr>
              <w:t>教学仪器设备、标本、模型等。全省教育系统所属学校由省教育厅实行部门集中采购和协议采购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A03341202</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高教仪器设备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各类大学、学院、职业学院（校）和中专学校</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A03341203</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机床类仪器设备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限于中等职业教育。全省教育系统所属学校由省教育厅实行部门集中采购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A03341204</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汽车维修类仪器设备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限于中等职业教育。全省教育系统所属学校由省教育厅实行部门集中采购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A03341205</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电子电工类仪器设备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限于中等职业教育。全省教育系统所属学校由省教育厅实行部门集中采购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A033413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核子及核辐射测量仪器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A033416</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船舶专用仪器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A033417</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纺织专用仪器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A033418</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建筑工程仪器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A033419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汽车拖拉机仪表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A033420</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动力测量仪器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A033421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心理仪器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A033422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生理仪器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A033499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其他专用仪器仪表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包括航天、航空仪器等其他专用仪器</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A0335</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文艺设备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A033501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bCs/>
                <w:kern w:val="0"/>
                <w:szCs w:val="21"/>
              </w:rPr>
            </w:pPr>
            <w:r>
              <w:rPr>
                <w:bCs/>
                <w:kern w:val="0"/>
                <w:szCs w:val="21"/>
              </w:rPr>
              <w:t>乐器</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A033502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bCs/>
                <w:kern w:val="0"/>
                <w:szCs w:val="21"/>
              </w:rPr>
            </w:pPr>
            <w:r>
              <w:rPr>
                <w:bCs/>
                <w:kern w:val="0"/>
                <w:szCs w:val="21"/>
              </w:rPr>
              <w:t>演出服装</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A033503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bCs/>
                <w:kern w:val="0"/>
                <w:szCs w:val="21"/>
              </w:rPr>
            </w:pPr>
            <w:r>
              <w:rPr>
                <w:bCs/>
                <w:kern w:val="0"/>
                <w:szCs w:val="21"/>
              </w:rPr>
              <w:t>舞台设备</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包括舞台灯具和音响设备</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rFonts w:eastAsia="宋体"/>
                <w:bCs/>
                <w:strike/>
                <w:dstrike w:val="0"/>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A033599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bCs/>
                <w:kern w:val="0"/>
                <w:szCs w:val="21"/>
              </w:rPr>
            </w:pPr>
            <w:r>
              <w:rPr>
                <w:bCs/>
                <w:kern w:val="0"/>
                <w:szCs w:val="21"/>
              </w:rPr>
              <w:t>其他文艺设备</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A0336</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体育设备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A0337</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娱乐设备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A033705</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彩票销售设备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rFonts w:hint="eastAsia"/>
                <w:kern w:val="0"/>
                <w:szCs w:val="21"/>
                <w:lang w:val="en-US" w:eastAsia="zh-CN"/>
              </w:rPr>
              <w:t>仅限省级</w:t>
            </w: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A033799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其他娱乐设备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A0399</w:t>
            </w:r>
          </w:p>
        </w:tc>
        <w:tc>
          <w:tcPr>
            <w:tcW w:w="3644" w:type="dxa"/>
            <w:tcBorders>
              <w:top w:val="single" w:color="auto" w:sz="4" w:space="0"/>
              <w:bottom w:val="single" w:color="auto" w:sz="4" w:space="0"/>
            </w:tcBorders>
            <w:vAlign w:val="center"/>
          </w:tcPr>
          <w:p>
            <w:pPr>
              <w:widowControl/>
              <w:spacing w:beforeLines="0" w:afterLines="0" w:line="300" w:lineRule="exact"/>
              <w:ind w:firstLine="206" w:firstLineChars="98"/>
              <w:rPr>
                <w:bCs/>
                <w:kern w:val="0"/>
                <w:szCs w:val="21"/>
              </w:rPr>
            </w:pPr>
            <w:r>
              <w:rPr>
                <w:bCs/>
                <w:kern w:val="0"/>
                <w:szCs w:val="21"/>
              </w:rPr>
              <w:t>其他专用设备</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A04</w:t>
            </w:r>
          </w:p>
        </w:tc>
        <w:tc>
          <w:tcPr>
            <w:tcW w:w="3644"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文物和陈列品</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A05</w:t>
            </w:r>
          </w:p>
        </w:tc>
        <w:tc>
          <w:tcPr>
            <w:tcW w:w="3644"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图书和档案</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r>
              <w:rPr>
                <w:kern w:val="0"/>
                <w:szCs w:val="21"/>
              </w:rPr>
              <w:t>包括纸质和电子各类图书、期刊、资料（含查询用数据资料库、电子出版物等）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A0501</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图书资料</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A050101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高校图书资料</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限省直属高校，由省教育厅实行部门集中采购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A050102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中小学图书资料</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高中（含）以下学校。全省教育系统所属学校由省教育厅实行部门集中采购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A0502</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教科书</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A050201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义务教育教科书</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全省统一集中采购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A05020101</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国家课程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全省统一集中采购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A05020102</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省级地方课程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全省统一集中采购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A05020103</w:t>
            </w:r>
          </w:p>
        </w:tc>
        <w:tc>
          <w:tcPr>
            <w:tcW w:w="3644" w:type="dxa"/>
            <w:tcBorders>
              <w:top w:val="single" w:color="auto" w:sz="4" w:space="0"/>
              <w:bottom w:val="single" w:color="auto" w:sz="4" w:space="0"/>
            </w:tcBorders>
            <w:vAlign w:val="center"/>
          </w:tcPr>
          <w:p>
            <w:pPr>
              <w:widowControl/>
              <w:spacing w:beforeLines="0" w:afterLines="0" w:line="300" w:lineRule="exact"/>
              <w:ind w:firstLine="630" w:firstLineChars="300"/>
              <w:rPr>
                <w:kern w:val="0"/>
                <w:szCs w:val="21"/>
              </w:rPr>
            </w:pPr>
            <w:r>
              <w:rPr>
                <w:kern w:val="0"/>
                <w:szCs w:val="21"/>
              </w:rPr>
              <w:t>配套作业本</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白练习本由各地集中采购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A050202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其他教科书</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A0599</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其他图书、档案资料</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A06</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家具用具</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A0601</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办公家具</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政府集中采购（协议供货）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A0602</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高校学生课桌椅</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限省直属高校，由省教育厅实行部门集中采购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A0603</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高校学生宿舍家具</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限省直属高校，由省教育厅实行部门集中采购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A0608</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厨卫用具</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包括厨房操作台、炊事机械、煤气罐（液化气罐）、餐具等厨房用具, 以及水池、便器、水嘴、沐浴器、沐浴房等卫浴用具</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A0699</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其他家具用具</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A07</w:t>
            </w:r>
          </w:p>
        </w:tc>
        <w:tc>
          <w:tcPr>
            <w:tcW w:w="3644"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纺织原料、毛皮、被服装具</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A0701</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纺织用料</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A0702</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皮革、毛皮等用料</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A0703</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被服装具</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A070301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工作制服</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执法人员统一着装</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A070399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kern w:val="0"/>
                <w:szCs w:val="21"/>
              </w:rPr>
            </w:pPr>
            <w:r>
              <w:rPr>
                <w:kern w:val="0"/>
                <w:szCs w:val="21"/>
              </w:rPr>
              <w:t>其他被服装具</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包括其他被服用品、床上用品、室内装具、室外装具、箱包等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mc:AlternateContent>
                <mc:Choice Requires="wps">
                  <w:drawing>
                    <wp:anchor distT="0" distB="0" distL="114300" distR="114300" simplePos="0" relativeHeight="251663360" behindDoc="0" locked="0" layoutInCell="1" allowOverlap="1">
                      <wp:simplePos x="0" y="0"/>
                      <wp:positionH relativeFrom="column">
                        <wp:posOffset>-77470</wp:posOffset>
                      </wp:positionH>
                      <wp:positionV relativeFrom="paragraph">
                        <wp:posOffset>0</wp:posOffset>
                      </wp:positionV>
                      <wp:extent cx="6304915" cy="635"/>
                      <wp:effectExtent l="0" t="0" r="0" b="0"/>
                      <wp:wrapNone/>
                      <wp:docPr id="9" name="直接连接符 22"/>
                      <wp:cNvGraphicFramePr/>
                      <a:graphic xmlns:a="http://schemas.openxmlformats.org/drawingml/2006/main">
                        <a:graphicData uri="http://schemas.microsoft.com/office/word/2010/wordprocessingShape">
                          <wps:wsp>
                            <wps:cNvSpPr/>
                            <wps:spPr>
                              <a:xfrm>
                                <a:off x="0" y="0"/>
                                <a:ext cx="6304915" cy="635"/>
                              </a:xfrm>
                              <a:prstGeom prst="line">
                                <a:avLst/>
                              </a:prstGeom>
                              <a:ln w="9525" cap="flat" cmpd="sng">
                                <a:solidFill>
                                  <a:srgbClr val="000000"/>
                                </a:solidFill>
                                <a:prstDash val="solid"/>
                                <a:bevel/>
                                <a:headEnd type="none" w="med" len="med"/>
                                <a:tailEnd type="none" w="med" len="med"/>
                              </a:ln>
                            </wps:spPr>
                            <wps:bodyPr upright="1"/>
                          </wps:wsp>
                        </a:graphicData>
                      </a:graphic>
                    </wp:anchor>
                  </w:drawing>
                </mc:Choice>
                <mc:Fallback>
                  <w:pict>
                    <v:line id="直接连接符 22" o:spid="_x0000_s1026" o:spt="20" style="position:absolute;left:0pt;margin-left:-6.1pt;margin-top:0pt;height:0.05pt;width:496.45pt;z-index:251663360;mso-width-relative:page;mso-height-relative:page;" filled="f" stroked="t" coordsize="21600,21600" o:gfxdata="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QrwsjTAAAABQEAAA8AAAAA&#10;AAAAAQAgAAAAIgAAAGRycy9kb3ducmV2LnhtbFBLAQIUABQAAAAIAIdO4kCMYzv74AEAAKMDAAAO&#10;AAAAAAAAAAEAIAAAACIBAABkcnMvZTJvRG9jLnhtbFBLBQYAAAAABgAGAFkBAAB0BQAAAAA=&#10;">
                      <v:path arrowok="t"/>
                      <v:fill on="f" focussize="0,0"/>
                      <v:stroke joinstyle="bevel"/>
                      <v:imagedata o:title=""/>
                      <o:lock v:ext="edit" grouping="f" rotation="f" text="f" aspectratio="f"/>
                    </v:line>
                  </w:pict>
                </mc:Fallback>
              </mc:AlternateContent>
            </w:r>
            <w:r>
              <w:rPr>
                <w:bCs/>
                <w:kern w:val="0"/>
                <w:szCs w:val="21"/>
              </w:rPr>
              <w:t>A09</w:t>
            </w:r>
          </w:p>
        </w:tc>
        <w:tc>
          <w:tcPr>
            <w:tcW w:w="3644"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办公消耗用品及类似物品</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A0901</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纸制文具及办公用品</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包括复印纸、信纸、信封等。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rFonts w:eastAsia="宋体"/>
                <w:strike/>
                <w:dstrike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A0902</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硒鼓、粉盒</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A0903</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墨、颜料</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A0904</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文教用品</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A0905</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清洁用品</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A0906</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信息化学品</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包括胶片胶卷、录音录像带和其他信息载体</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A0999</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其他办公消耗用品及类似物品</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A10</w:t>
            </w:r>
          </w:p>
        </w:tc>
        <w:tc>
          <w:tcPr>
            <w:tcW w:w="3644"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建筑建材</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color w:val="FF0000"/>
                <w:kern w:val="0"/>
                <w:szCs w:val="21"/>
              </w:rPr>
            </w:pPr>
            <w:r>
              <w:rPr>
                <w:bCs/>
                <w:color w:val="FF0000"/>
                <w:kern w:val="0"/>
                <w:szCs w:val="21"/>
              </w:rPr>
              <w:t>A11</w:t>
            </w:r>
          </w:p>
        </w:tc>
        <w:tc>
          <w:tcPr>
            <w:tcW w:w="3644"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bCs/>
                <w:color w:val="FF0000"/>
                <w:kern w:val="0"/>
                <w:szCs w:val="21"/>
              </w:rPr>
              <w:t>药品</w:t>
            </w:r>
            <w:r>
              <w:rPr>
                <w:rFonts w:hint="eastAsia"/>
                <w:bCs/>
                <w:color w:val="FF0000"/>
                <w:kern w:val="0"/>
                <w:szCs w:val="21"/>
              </w:rPr>
              <w:t>及耗材</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rFonts w:eastAsia="宋体"/>
                <w:color w:val="FF0000"/>
                <w:kern w:val="0"/>
                <w:szCs w:val="21"/>
              </w:rPr>
            </w:pPr>
            <w:r>
              <w:rPr>
                <w:rFonts w:hint="eastAsia"/>
                <w:color w:val="FF0000"/>
                <w:kern w:val="0"/>
                <w:szCs w:val="21"/>
              </w:rPr>
              <w:t>A1101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eastAsia="宋体"/>
                <w:color w:val="FF0000"/>
                <w:kern w:val="0"/>
                <w:szCs w:val="21"/>
              </w:rPr>
            </w:pPr>
            <w:r>
              <w:rPr>
                <w:rFonts w:hint="eastAsia"/>
                <w:color w:val="FF0000"/>
                <w:kern w:val="0"/>
                <w:szCs w:val="21"/>
              </w:rPr>
              <w:t>化学药品原药</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rFonts w:eastAsia="宋体"/>
                <w:color w:val="FF0000"/>
                <w:kern w:val="0"/>
                <w:szCs w:val="21"/>
              </w:rPr>
            </w:pPr>
            <w:r>
              <w:rPr>
                <w:rFonts w:hint="eastAsia"/>
                <w:color w:val="FF0000"/>
                <w:kern w:val="0"/>
                <w:szCs w:val="21"/>
              </w:rPr>
              <w:t>A1102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eastAsia="宋体"/>
                <w:color w:val="FF0000"/>
                <w:kern w:val="0"/>
                <w:szCs w:val="21"/>
              </w:rPr>
            </w:pPr>
            <w:r>
              <w:rPr>
                <w:rFonts w:hint="eastAsia"/>
                <w:color w:val="FF0000"/>
                <w:kern w:val="0"/>
                <w:szCs w:val="21"/>
              </w:rPr>
              <w:t>化学药品制剂</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rFonts w:eastAsia="宋体"/>
                <w:color w:val="FF0000"/>
                <w:kern w:val="0"/>
                <w:szCs w:val="21"/>
              </w:rPr>
            </w:pPr>
            <w:r>
              <w:rPr>
                <w:rFonts w:hint="eastAsia"/>
                <w:color w:val="FF0000"/>
                <w:kern w:val="0"/>
                <w:szCs w:val="21"/>
              </w:rPr>
              <w:t>A1103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eastAsia="宋体"/>
                <w:color w:val="FF0000"/>
                <w:kern w:val="0"/>
                <w:szCs w:val="21"/>
              </w:rPr>
            </w:pPr>
            <w:r>
              <w:rPr>
                <w:rFonts w:hint="eastAsia"/>
                <w:color w:val="FF0000"/>
                <w:kern w:val="0"/>
                <w:szCs w:val="21"/>
              </w:rPr>
              <w:t>中药饮片</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rFonts w:eastAsia="宋体"/>
                <w:color w:val="FF0000"/>
                <w:kern w:val="0"/>
                <w:szCs w:val="21"/>
              </w:rPr>
            </w:pPr>
            <w:r>
              <w:rPr>
                <w:rFonts w:hint="eastAsia"/>
                <w:color w:val="FF0000"/>
                <w:kern w:val="0"/>
                <w:szCs w:val="21"/>
              </w:rPr>
              <w:t>A1104</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eastAsia="宋体"/>
                <w:color w:val="FF0000"/>
                <w:kern w:val="0"/>
                <w:szCs w:val="21"/>
              </w:rPr>
            </w:pPr>
            <w:r>
              <w:rPr>
                <w:rFonts w:hint="eastAsia"/>
                <w:color w:val="FF0000"/>
                <w:kern w:val="0"/>
                <w:szCs w:val="21"/>
              </w:rPr>
              <w:t>中药制剂</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rFonts w:eastAsia="宋体"/>
                <w:color w:val="FF0000"/>
                <w:kern w:val="0"/>
                <w:szCs w:val="21"/>
              </w:rPr>
            </w:pPr>
            <w:r>
              <w:rPr>
                <w:rFonts w:hint="eastAsia"/>
                <w:color w:val="FF0000"/>
                <w:kern w:val="0"/>
                <w:szCs w:val="21"/>
              </w:rPr>
              <w:t>A1105</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eastAsia="宋体"/>
                <w:color w:val="FF0000"/>
                <w:kern w:val="0"/>
                <w:szCs w:val="21"/>
              </w:rPr>
            </w:pPr>
            <w:r>
              <w:rPr>
                <w:rFonts w:hint="eastAsia"/>
                <w:color w:val="FF0000"/>
                <w:kern w:val="0"/>
                <w:szCs w:val="21"/>
              </w:rPr>
              <w:t>兽用药品</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rFonts w:eastAsia="宋体"/>
                <w:color w:val="FF0000"/>
                <w:kern w:val="0"/>
                <w:szCs w:val="21"/>
              </w:rPr>
            </w:pPr>
            <w:r>
              <w:rPr>
                <w:rFonts w:hint="eastAsia"/>
                <w:color w:val="FF0000"/>
                <w:kern w:val="0"/>
                <w:szCs w:val="21"/>
              </w:rPr>
              <w:t>A110503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eastAsia="宋体"/>
                <w:color w:val="FF0000"/>
                <w:kern w:val="0"/>
                <w:szCs w:val="21"/>
              </w:rPr>
            </w:pPr>
            <w:r>
              <w:rPr>
                <w:rFonts w:hint="eastAsia"/>
                <w:color w:val="FF0000"/>
                <w:kern w:val="0"/>
                <w:szCs w:val="21"/>
              </w:rPr>
              <w:t xml:space="preserve">  兽用疫苗</w:t>
            </w:r>
          </w:p>
        </w:tc>
        <w:tc>
          <w:tcPr>
            <w:tcW w:w="2161" w:type="dxa"/>
            <w:tcBorders>
              <w:top w:val="single" w:color="auto" w:sz="4" w:space="0"/>
              <w:bottom w:val="single" w:color="auto" w:sz="4" w:space="0"/>
            </w:tcBorders>
            <w:vAlign w:val="center"/>
          </w:tcPr>
          <w:p>
            <w:pPr>
              <w:widowControl/>
              <w:spacing w:beforeLines="0" w:afterLines="0" w:line="300" w:lineRule="exact"/>
              <w:rPr>
                <w:rFonts w:hint="eastAsia" w:eastAsia="宋体"/>
                <w:bCs/>
                <w:kern w:val="0"/>
                <w:szCs w:val="21"/>
                <w:lang w:val="en-US" w:eastAsia="zh-CN"/>
              </w:rPr>
            </w:pPr>
            <w:r>
              <w:rPr>
                <w:rFonts w:hint="eastAsia"/>
                <w:bCs/>
                <w:kern w:val="0"/>
                <w:szCs w:val="21"/>
                <w:lang w:val="en-US" w:eastAsia="zh-CN"/>
              </w:rPr>
              <w:t>限于动物疾病防控疫苗</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rFonts w:hint="eastAsia" w:eastAsia="宋体"/>
                <w:kern w:val="0"/>
                <w:szCs w:val="21"/>
                <w:lang w:val="en-US" w:eastAsia="zh-CN"/>
              </w:rPr>
            </w:pPr>
            <w:r>
              <w:rPr>
                <w:rFonts w:hint="eastAsia"/>
                <w:kern w:val="0"/>
                <w:szCs w:val="21"/>
                <w:lang w:val="en-US" w:eastAsia="zh-CN"/>
              </w:rPr>
              <w:t>仅限省级政府集中采购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rFonts w:eastAsia="宋体"/>
                <w:color w:val="FF0000"/>
                <w:kern w:val="0"/>
                <w:szCs w:val="21"/>
              </w:rPr>
            </w:pPr>
            <w:r>
              <w:rPr>
                <w:rFonts w:hint="eastAsia"/>
                <w:color w:val="FF0000"/>
                <w:kern w:val="0"/>
                <w:szCs w:val="21"/>
              </w:rPr>
              <w:t>A110599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eastAsia="宋体"/>
                <w:color w:val="FF0000"/>
                <w:kern w:val="0"/>
                <w:szCs w:val="21"/>
              </w:rPr>
            </w:pPr>
            <w:r>
              <w:rPr>
                <w:rFonts w:hint="eastAsia"/>
                <w:color w:val="FF0000"/>
                <w:kern w:val="0"/>
                <w:szCs w:val="21"/>
              </w:rPr>
              <w:t xml:space="preserve">  其他兽用药品</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rFonts w:eastAsia="宋体"/>
                <w:color w:val="FF0000"/>
                <w:kern w:val="0"/>
                <w:szCs w:val="21"/>
              </w:rPr>
            </w:pPr>
            <w:r>
              <w:rPr>
                <w:rFonts w:hint="eastAsia"/>
                <w:color w:val="FF0000"/>
                <w:kern w:val="0"/>
                <w:szCs w:val="21"/>
              </w:rPr>
              <w:t>A1106</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eastAsia="宋体"/>
                <w:color w:val="FF0000"/>
                <w:kern w:val="0"/>
                <w:szCs w:val="21"/>
              </w:rPr>
            </w:pPr>
            <w:r>
              <w:rPr>
                <w:rFonts w:hint="eastAsia"/>
                <w:color w:val="FF0000"/>
                <w:kern w:val="0"/>
                <w:szCs w:val="21"/>
              </w:rPr>
              <w:t>生物化学药品</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rFonts w:eastAsia="宋体"/>
                <w:color w:val="FF0000"/>
                <w:kern w:val="0"/>
                <w:szCs w:val="21"/>
              </w:rPr>
            </w:pPr>
            <w:r>
              <w:rPr>
                <w:rFonts w:hint="eastAsia"/>
                <w:color w:val="FF0000"/>
                <w:kern w:val="0"/>
                <w:szCs w:val="21"/>
              </w:rPr>
              <w:t>A1107</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eastAsia="宋体"/>
                <w:color w:val="FF0000"/>
                <w:kern w:val="0"/>
                <w:szCs w:val="21"/>
              </w:rPr>
            </w:pPr>
            <w:r>
              <w:rPr>
                <w:rFonts w:hint="eastAsia"/>
                <w:color w:val="FF0000"/>
                <w:kern w:val="0"/>
                <w:szCs w:val="21"/>
              </w:rPr>
              <w:t>生物化学制剂</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rFonts w:eastAsia="宋体"/>
                <w:color w:val="FF0000"/>
                <w:kern w:val="0"/>
                <w:szCs w:val="21"/>
              </w:rPr>
            </w:pPr>
            <w:r>
              <w:rPr>
                <w:rFonts w:hint="eastAsia"/>
                <w:color w:val="FF0000"/>
                <w:kern w:val="0"/>
                <w:szCs w:val="21"/>
              </w:rPr>
              <w:t>A110703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eastAsia="宋体"/>
                <w:color w:val="FF0000"/>
                <w:kern w:val="0"/>
                <w:szCs w:val="21"/>
              </w:rPr>
            </w:pPr>
            <w:r>
              <w:rPr>
                <w:rFonts w:hint="eastAsia"/>
                <w:color w:val="FF0000"/>
                <w:kern w:val="0"/>
                <w:szCs w:val="21"/>
              </w:rPr>
              <w:t xml:space="preserve">  人用疫苗</w:t>
            </w:r>
          </w:p>
        </w:tc>
        <w:tc>
          <w:tcPr>
            <w:tcW w:w="2161" w:type="dxa"/>
            <w:tcBorders>
              <w:top w:val="single" w:color="auto" w:sz="4" w:space="0"/>
              <w:bottom w:val="single" w:color="auto" w:sz="4" w:space="0"/>
            </w:tcBorders>
            <w:vAlign w:val="center"/>
          </w:tcPr>
          <w:p>
            <w:pPr>
              <w:widowControl/>
              <w:spacing w:beforeLines="0" w:afterLines="0" w:line="300" w:lineRule="exact"/>
              <w:rPr>
                <w:rFonts w:hint="eastAsia" w:eastAsia="宋体"/>
                <w:bCs/>
                <w:kern w:val="0"/>
                <w:szCs w:val="21"/>
                <w:lang w:val="en-US" w:eastAsia="zh-CN"/>
              </w:rPr>
            </w:pPr>
            <w:r>
              <w:rPr>
                <w:rFonts w:hint="eastAsia"/>
                <w:bCs/>
                <w:color w:val="FF0000"/>
                <w:kern w:val="0"/>
                <w:szCs w:val="21"/>
                <w:lang w:val="en-US" w:eastAsia="zh-CN"/>
              </w:rPr>
              <w:t>限于一类、二类疫苗</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rFonts w:hint="eastAsia" w:eastAsia="宋体"/>
                <w:kern w:val="0"/>
                <w:szCs w:val="21"/>
                <w:lang w:val="en-US" w:eastAsia="zh-CN"/>
              </w:rPr>
            </w:pPr>
            <w:r>
              <w:rPr>
                <w:rFonts w:hint="eastAsia"/>
                <w:kern w:val="0"/>
                <w:szCs w:val="21"/>
                <w:lang w:val="en-US" w:eastAsia="zh-CN"/>
              </w:rPr>
              <w:t>仅限省级政府集中采购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rFonts w:eastAsia="宋体"/>
                <w:color w:val="FF0000"/>
                <w:kern w:val="0"/>
                <w:szCs w:val="21"/>
              </w:rPr>
            </w:pPr>
            <w:r>
              <w:rPr>
                <w:rFonts w:hint="eastAsia"/>
                <w:color w:val="FF0000"/>
                <w:kern w:val="0"/>
                <w:szCs w:val="21"/>
              </w:rPr>
              <w:t>A110799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eastAsia="宋体"/>
                <w:color w:val="FF0000"/>
                <w:kern w:val="0"/>
                <w:szCs w:val="21"/>
              </w:rPr>
            </w:pPr>
            <w:r>
              <w:rPr>
                <w:rFonts w:hint="eastAsia"/>
                <w:color w:val="FF0000"/>
                <w:kern w:val="0"/>
                <w:szCs w:val="21"/>
              </w:rPr>
              <w:t xml:space="preserve">  其他生物化学制剂</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rFonts w:eastAsia="宋体"/>
                <w:color w:val="FF0000"/>
                <w:kern w:val="0"/>
                <w:szCs w:val="21"/>
              </w:rPr>
            </w:pPr>
            <w:r>
              <w:rPr>
                <w:rFonts w:hint="eastAsia"/>
                <w:color w:val="FF0000"/>
                <w:kern w:val="0"/>
                <w:szCs w:val="21"/>
              </w:rPr>
              <w:t>A1108</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eastAsia="宋体"/>
                <w:color w:val="FF0000"/>
                <w:kern w:val="0"/>
                <w:szCs w:val="21"/>
              </w:rPr>
            </w:pPr>
            <w:r>
              <w:rPr>
                <w:rFonts w:hint="eastAsia"/>
                <w:color w:val="FF0000"/>
                <w:kern w:val="0"/>
                <w:szCs w:val="21"/>
              </w:rPr>
              <w:t>医用耗材</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rFonts w:hint="eastAsia" w:eastAsia="宋体"/>
                <w:kern w:val="0"/>
                <w:szCs w:val="21"/>
                <w:lang w:val="en-US" w:eastAsia="zh-CN"/>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rFonts w:eastAsia="宋体"/>
                <w:color w:val="FF0000"/>
                <w:kern w:val="0"/>
                <w:szCs w:val="21"/>
              </w:rPr>
            </w:pPr>
            <w:r>
              <w:rPr>
                <w:rFonts w:hint="eastAsia"/>
                <w:color w:val="FF0000"/>
                <w:kern w:val="0"/>
                <w:szCs w:val="21"/>
              </w:rPr>
              <w:t>A110801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color w:val="FF0000"/>
                <w:kern w:val="0"/>
                <w:szCs w:val="21"/>
              </w:rPr>
            </w:pPr>
            <w:r>
              <w:rPr>
                <w:rFonts w:hint="eastAsia" w:ascii="宋体" w:hAnsi="宋体" w:eastAsia="宋体" w:cs="宋体"/>
                <w:color w:val="FF0000"/>
                <w:kern w:val="0"/>
                <w:szCs w:val="21"/>
              </w:rPr>
              <w:t xml:space="preserve">    手术室常用耗材</w:t>
            </w:r>
          </w:p>
        </w:tc>
        <w:tc>
          <w:tcPr>
            <w:tcW w:w="2161"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rFonts w:hint="eastAsia" w:ascii="宋体" w:hAnsi="宋体" w:eastAsia="宋体" w:cs="宋体"/>
                <w:color w:val="FF0000"/>
                <w:kern w:val="0"/>
                <w:szCs w:val="21"/>
              </w:rPr>
              <w:t>包括手术及急救中用于治疗、护理、监测的各类一次性医用耗材和配套手术设备用的一次性医用耗材</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rFonts w:eastAsia="宋体"/>
                <w:color w:val="FF0000"/>
                <w:kern w:val="0"/>
                <w:szCs w:val="21"/>
              </w:rPr>
            </w:pPr>
            <w:r>
              <w:rPr>
                <w:rFonts w:hint="eastAsia"/>
                <w:color w:val="FF0000"/>
                <w:kern w:val="0"/>
                <w:szCs w:val="21"/>
              </w:rPr>
              <w:t>A110802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color w:val="FF0000"/>
                <w:kern w:val="0"/>
                <w:szCs w:val="21"/>
              </w:rPr>
            </w:pPr>
            <w:r>
              <w:rPr>
                <w:rFonts w:hint="eastAsia" w:ascii="宋体" w:hAnsi="宋体" w:eastAsia="宋体" w:cs="宋体"/>
                <w:color w:val="FF0000"/>
                <w:kern w:val="0"/>
                <w:szCs w:val="21"/>
              </w:rPr>
              <w:t xml:space="preserve">    非血管介入耗材</w:t>
            </w:r>
          </w:p>
        </w:tc>
        <w:tc>
          <w:tcPr>
            <w:tcW w:w="2161"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rFonts w:hint="eastAsia" w:ascii="宋体" w:hAnsi="宋体" w:eastAsia="宋体" w:cs="宋体"/>
                <w:color w:val="FF0000"/>
                <w:kern w:val="0"/>
                <w:szCs w:val="21"/>
              </w:rPr>
              <w:t>包括非血管介入的支架、球囊、导管、取石篮和其他在内窥镜下治疗用的一次性使用耗材</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rFonts w:eastAsia="宋体"/>
                <w:color w:val="FF0000"/>
                <w:kern w:val="0"/>
                <w:szCs w:val="21"/>
              </w:rPr>
            </w:pPr>
            <w:r>
              <w:rPr>
                <w:rFonts w:hint="eastAsia"/>
                <w:color w:val="FF0000"/>
                <w:kern w:val="0"/>
                <w:szCs w:val="21"/>
              </w:rPr>
              <w:t>A110803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color w:val="FF0000"/>
                <w:kern w:val="0"/>
                <w:szCs w:val="21"/>
              </w:rPr>
            </w:pPr>
            <w:r>
              <w:rPr>
                <w:rFonts w:hint="eastAsia" w:ascii="宋体" w:hAnsi="宋体" w:eastAsia="宋体" w:cs="宋体"/>
                <w:color w:val="FF0000"/>
                <w:kern w:val="0"/>
                <w:szCs w:val="21"/>
              </w:rPr>
              <w:t xml:space="preserve">    医用x射线设备配套用耗材</w:t>
            </w:r>
          </w:p>
        </w:tc>
        <w:tc>
          <w:tcPr>
            <w:tcW w:w="2161"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rFonts w:hint="eastAsia" w:ascii="宋体" w:hAnsi="宋体" w:eastAsia="宋体" w:cs="宋体"/>
                <w:color w:val="FF0000"/>
                <w:kern w:val="0"/>
                <w:szCs w:val="21"/>
              </w:rPr>
              <w:t>包括胶片、高压注射针筒等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rFonts w:eastAsia="宋体"/>
                <w:color w:val="FF0000"/>
                <w:kern w:val="0"/>
                <w:szCs w:val="21"/>
              </w:rPr>
            </w:pPr>
            <w:r>
              <w:rPr>
                <w:rFonts w:hint="eastAsia"/>
                <w:color w:val="FF0000"/>
                <w:kern w:val="0"/>
                <w:szCs w:val="21"/>
              </w:rPr>
              <w:t>A110804</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color w:val="FF0000"/>
                <w:kern w:val="0"/>
                <w:szCs w:val="21"/>
              </w:rPr>
            </w:pPr>
            <w:r>
              <w:rPr>
                <w:rFonts w:hint="eastAsia" w:ascii="宋体" w:hAnsi="宋体" w:eastAsia="宋体" w:cs="宋体"/>
                <w:color w:val="FF0000"/>
                <w:kern w:val="0"/>
                <w:szCs w:val="21"/>
              </w:rPr>
              <w:t xml:space="preserve">    检测试剂</w:t>
            </w:r>
          </w:p>
        </w:tc>
        <w:tc>
          <w:tcPr>
            <w:tcW w:w="2161"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rFonts w:hint="eastAsia" w:ascii="宋体" w:hAnsi="宋体" w:eastAsia="宋体" w:cs="宋体"/>
                <w:color w:val="FF0000"/>
                <w:kern w:val="0"/>
                <w:szCs w:val="21"/>
              </w:rPr>
              <w:t>包括所有配套检测设备使用的试剂和其他临床检测用试剂</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rFonts w:eastAsia="宋体"/>
                <w:color w:val="FF0000"/>
                <w:kern w:val="0"/>
                <w:szCs w:val="21"/>
              </w:rPr>
            </w:pPr>
            <w:r>
              <w:rPr>
                <w:rFonts w:hint="eastAsia"/>
                <w:color w:val="FF0000"/>
                <w:kern w:val="0"/>
                <w:szCs w:val="21"/>
              </w:rPr>
              <w:t>A110805</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color w:val="FF0000"/>
                <w:kern w:val="0"/>
                <w:szCs w:val="21"/>
              </w:rPr>
            </w:pPr>
            <w:r>
              <w:rPr>
                <w:rFonts w:hint="eastAsia" w:ascii="宋体" w:hAnsi="宋体" w:eastAsia="宋体" w:cs="宋体"/>
                <w:color w:val="FF0000"/>
                <w:kern w:val="0"/>
                <w:szCs w:val="21"/>
              </w:rPr>
              <w:t xml:space="preserve">    病理试剂</w:t>
            </w:r>
          </w:p>
        </w:tc>
        <w:tc>
          <w:tcPr>
            <w:tcW w:w="2161"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rFonts w:hint="eastAsia" w:ascii="宋体" w:hAnsi="宋体" w:eastAsia="宋体" w:cs="宋体"/>
                <w:color w:val="FF0000"/>
                <w:kern w:val="0"/>
                <w:szCs w:val="21"/>
              </w:rPr>
              <w:t>包括病理检测用试剂</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A110806</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color w:val="FF0000"/>
                <w:kern w:val="0"/>
                <w:szCs w:val="21"/>
              </w:rPr>
            </w:pPr>
            <w:r>
              <w:rPr>
                <w:rFonts w:hint="eastAsia" w:ascii="宋体" w:hAnsi="宋体" w:eastAsia="宋体" w:cs="宋体"/>
                <w:color w:val="FF0000"/>
                <w:kern w:val="0"/>
                <w:szCs w:val="21"/>
              </w:rPr>
              <w:t xml:space="preserve">    体外循环耗材</w:t>
            </w:r>
          </w:p>
        </w:tc>
        <w:tc>
          <w:tcPr>
            <w:tcW w:w="2161"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rFonts w:hint="eastAsia" w:ascii="宋体" w:hAnsi="宋体" w:eastAsia="宋体" w:cs="宋体"/>
                <w:color w:val="FF0000"/>
                <w:kern w:val="0"/>
                <w:szCs w:val="21"/>
              </w:rPr>
              <w:t>包括人工心肺体外循环时需要使用的一次性使用耗材</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A110807</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color w:val="FF0000"/>
                <w:kern w:val="0"/>
                <w:szCs w:val="21"/>
              </w:rPr>
            </w:pPr>
            <w:r>
              <w:rPr>
                <w:rFonts w:hint="eastAsia" w:ascii="宋体" w:hAnsi="宋体" w:eastAsia="宋体" w:cs="宋体"/>
                <w:color w:val="FF0000"/>
                <w:kern w:val="0"/>
                <w:szCs w:val="21"/>
              </w:rPr>
              <w:t xml:space="preserve">    眼科耗材</w:t>
            </w:r>
          </w:p>
        </w:tc>
        <w:tc>
          <w:tcPr>
            <w:tcW w:w="2161"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rFonts w:hint="eastAsia" w:ascii="宋体" w:hAnsi="宋体" w:eastAsia="宋体" w:cs="宋体"/>
                <w:color w:val="FF0000"/>
                <w:kern w:val="0"/>
                <w:szCs w:val="21"/>
              </w:rPr>
              <w:t>包括眼科人工晶体和其他眼科手术治疗中用到的一次性使用耗材</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A110808</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color w:val="FF0000"/>
                <w:kern w:val="0"/>
                <w:szCs w:val="21"/>
              </w:rPr>
            </w:pPr>
            <w:r>
              <w:rPr>
                <w:rFonts w:hint="eastAsia" w:ascii="宋体" w:hAnsi="宋体" w:eastAsia="宋体" w:cs="宋体"/>
                <w:color w:val="FF0000"/>
                <w:kern w:val="0"/>
                <w:szCs w:val="21"/>
              </w:rPr>
              <w:t xml:space="preserve">    血液透析及净化耗材</w:t>
            </w:r>
          </w:p>
        </w:tc>
        <w:tc>
          <w:tcPr>
            <w:tcW w:w="2161"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rFonts w:hint="eastAsia" w:ascii="宋体" w:hAnsi="宋体" w:eastAsia="宋体" w:cs="宋体"/>
                <w:color w:val="FF0000"/>
                <w:kern w:val="0"/>
                <w:szCs w:val="21"/>
              </w:rPr>
              <w:t>包括血透和血滤和连续血液净化治疗过程中的一次性使用耗材</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A110809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color w:val="FF0000"/>
                <w:kern w:val="0"/>
                <w:szCs w:val="21"/>
              </w:rPr>
            </w:pPr>
            <w:r>
              <w:rPr>
                <w:rFonts w:hint="eastAsia" w:ascii="宋体" w:hAnsi="宋体" w:eastAsia="宋体" w:cs="宋体"/>
                <w:color w:val="FF0000"/>
                <w:kern w:val="0"/>
                <w:szCs w:val="21"/>
              </w:rPr>
              <w:t xml:space="preserve">    神经外科耗材</w:t>
            </w:r>
          </w:p>
        </w:tc>
        <w:tc>
          <w:tcPr>
            <w:tcW w:w="2161"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rFonts w:hint="eastAsia" w:ascii="宋体" w:hAnsi="宋体" w:eastAsia="宋体" w:cs="宋体"/>
                <w:color w:val="FF0000"/>
                <w:kern w:val="0"/>
                <w:szCs w:val="21"/>
              </w:rPr>
              <w:t>包括脑膜补片、脑脊液分流管等神经外科手术治疗中使用的一次性耗材</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A110810</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color w:val="FF0000"/>
                <w:kern w:val="0"/>
                <w:szCs w:val="21"/>
              </w:rPr>
            </w:pPr>
            <w:r>
              <w:rPr>
                <w:rFonts w:hint="eastAsia" w:ascii="宋体" w:hAnsi="宋体" w:eastAsia="宋体" w:cs="宋体"/>
                <w:color w:val="FF0000"/>
                <w:kern w:val="0"/>
                <w:szCs w:val="21"/>
              </w:rPr>
              <w:t xml:space="preserve">    心胸外科耗材</w:t>
            </w:r>
          </w:p>
        </w:tc>
        <w:tc>
          <w:tcPr>
            <w:tcW w:w="2161"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rFonts w:hint="eastAsia" w:ascii="宋体" w:hAnsi="宋体" w:eastAsia="宋体" w:cs="宋体"/>
                <w:color w:val="FF0000"/>
                <w:kern w:val="0"/>
                <w:szCs w:val="21"/>
              </w:rPr>
              <w:t>包含心脏瓣膜，心脏补片等心胸外科手术治疗时的一次性使用耗材</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A110811</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color w:val="FF0000"/>
                <w:kern w:val="0"/>
                <w:szCs w:val="21"/>
              </w:rPr>
            </w:pPr>
            <w:r>
              <w:rPr>
                <w:rFonts w:hint="eastAsia" w:ascii="宋体" w:hAnsi="宋体" w:eastAsia="宋体" w:cs="宋体"/>
                <w:color w:val="FF0000"/>
                <w:kern w:val="0"/>
                <w:szCs w:val="21"/>
              </w:rPr>
              <w:t xml:space="preserve">    麻醉类耗材</w:t>
            </w:r>
          </w:p>
        </w:tc>
        <w:tc>
          <w:tcPr>
            <w:tcW w:w="2161"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rFonts w:hint="eastAsia" w:ascii="宋体" w:hAnsi="宋体" w:eastAsia="宋体" w:cs="宋体"/>
                <w:color w:val="FF0000"/>
                <w:kern w:val="0"/>
                <w:szCs w:val="21"/>
              </w:rPr>
              <w:t>包含麻醉时使用的气插、气切、镇痛泵、各种传感器、喉罩等一次性使用耗材</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A110812</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color w:val="FF0000"/>
                <w:kern w:val="0"/>
                <w:szCs w:val="21"/>
              </w:rPr>
            </w:pPr>
            <w:r>
              <w:rPr>
                <w:rFonts w:hint="eastAsia" w:ascii="宋体" w:hAnsi="宋体" w:eastAsia="宋体" w:cs="宋体"/>
                <w:color w:val="FF0000"/>
                <w:kern w:val="0"/>
                <w:szCs w:val="21"/>
              </w:rPr>
              <w:t xml:space="preserve">    整形美容耗材</w:t>
            </w:r>
          </w:p>
        </w:tc>
        <w:tc>
          <w:tcPr>
            <w:tcW w:w="2161"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rFonts w:hint="eastAsia" w:ascii="宋体" w:hAnsi="宋体" w:eastAsia="宋体" w:cs="宋体"/>
                <w:color w:val="FF0000"/>
                <w:kern w:val="0"/>
                <w:szCs w:val="21"/>
              </w:rPr>
              <w:t>包含整形手术植入物及其他一次性耗材</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A110813</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color w:val="FF0000"/>
                <w:kern w:val="0"/>
                <w:szCs w:val="21"/>
              </w:rPr>
            </w:pPr>
            <w:r>
              <w:rPr>
                <w:rFonts w:hint="eastAsia" w:ascii="宋体" w:hAnsi="宋体" w:eastAsia="宋体" w:cs="宋体"/>
                <w:color w:val="FF0000"/>
                <w:kern w:val="0"/>
                <w:szCs w:val="21"/>
              </w:rPr>
              <w:t xml:space="preserve">    口腔科耗材</w:t>
            </w:r>
          </w:p>
        </w:tc>
        <w:tc>
          <w:tcPr>
            <w:tcW w:w="2161"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rFonts w:hint="eastAsia" w:ascii="宋体" w:hAnsi="宋体" w:eastAsia="宋体" w:cs="宋体"/>
                <w:color w:val="FF0000"/>
                <w:kern w:val="0"/>
                <w:szCs w:val="21"/>
              </w:rPr>
              <w:t>包含颌面部钢板及口腔义齿等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rFonts w:hint="eastAsia"/>
                <w:color w:val="FF0000"/>
                <w:kern w:val="0"/>
                <w:szCs w:val="21"/>
              </w:rPr>
            </w:pPr>
            <w:r>
              <w:rPr>
                <w:rFonts w:hint="eastAsia"/>
                <w:color w:val="FF0000"/>
                <w:kern w:val="0"/>
                <w:szCs w:val="21"/>
              </w:rPr>
              <w:t>A11081</w:t>
            </w:r>
            <w:r>
              <w:rPr>
                <w:rFonts w:hint="eastAsia"/>
                <w:color w:val="FF0000"/>
                <w:kern w:val="0"/>
                <w:szCs w:val="21"/>
                <w:lang w:val="en-US" w:eastAsia="zh-CN"/>
              </w:rPr>
              <w:t>4</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hint="eastAsia"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 xml:space="preserve">    假肢装置及材料</w:t>
            </w:r>
          </w:p>
        </w:tc>
        <w:tc>
          <w:tcPr>
            <w:tcW w:w="2161" w:type="dxa"/>
            <w:tcBorders>
              <w:top w:val="single" w:color="auto" w:sz="4" w:space="0"/>
              <w:bottom w:val="single" w:color="auto" w:sz="4" w:space="0"/>
            </w:tcBorders>
            <w:vAlign w:val="center"/>
          </w:tcPr>
          <w:p>
            <w:pPr>
              <w:widowControl/>
              <w:spacing w:beforeLines="0" w:afterLines="0" w:line="300" w:lineRule="exact"/>
              <w:rPr>
                <w:rFonts w:hint="eastAsia"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包括假肢，其他假肢装置及材料</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rFonts w:hint="eastAsia"/>
                <w:kern w:val="0"/>
                <w:szCs w:val="21"/>
                <w:lang w:val="en-US" w:eastAsia="zh-CN"/>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A11081</w:t>
            </w:r>
            <w:r>
              <w:rPr>
                <w:rFonts w:hint="eastAsia"/>
                <w:color w:val="FF0000"/>
                <w:kern w:val="0"/>
                <w:szCs w:val="21"/>
                <w:lang w:val="en-US" w:eastAsia="zh-CN"/>
              </w:rPr>
              <w:t>5</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color w:val="FF0000"/>
                <w:kern w:val="0"/>
                <w:szCs w:val="21"/>
              </w:rPr>
            </w:pPr>
            <w:r>
              <w:rPr>
                <w:rFonts w:hint="eastAsia" w:ascii="宋体" w:hAnsi="宋体" w:eastAsia="宋体" w:cs="宋体"/>
                <w:color w:val="FF0000"/>
                <w:kern w:val="0"/>
                <w:szCs w:val="21"/>
              </w:rPr>
              <w:t xml:space="preserve">    医用高分子材料及制品</w:t>
            </w:r>
          </w:p>
        </w:tc>
        <w:tc>
          <w:tcPr>
            <w:tcW w:w="2161"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rFonts w:hint="eastAsia" w:ascii="宋体" w:hAnsi="宋体" w:eastAsia="宋体" w:cs="宋体"/>
                <w:color w:val="FF0000"/>
                <w:kern w:val="0"/>
                <w:szCs w:val="21"/>
              </w:rPr>
              <w:t>包含临床护理时使用的高分子（塑料类）产品如注射器、输液器、留置针、吸痰管、吸氧管、面罩、吸引球等一次性耗材</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A11081</w:t>
            </w:r>
            <w:r>
              <w:rPr>
                <w:rFonts w:hint="eastAsia"/>
                <w:color w:val="FF0000"/>
                <w:kern w:val="0"/>
                <w:szCs w:val="21"/>
                <w:lang w:val="en-US" w:eastAsia="zh-CN"/>
              </w:rPr>
              <w:t>6</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color w:val="FF0000"/>
                <w:kern w:val="0"/>
                <w:szCs w:val="21"/>
              </w:rPr>
            </w:pPr>
            <w:r>
              <w:rPr>
                <w:rFonts w:hint="eastAsia" w:ascii="宋体" w:hAnsi="宋体" w:eastAsia="宋体" w:cs="宋体"/>
                <w:color w:val="FF0000"/>
                <w:kern w:val="0"/>
                <w:szCs w:val="21"/>
              </w:rPr>
              <w:t xml:space="preserve">    医用卫生材料及敷料</w:t>
            </w:r>
          </w:p>
        </w:tc>
        <w:tc>
          <w:tcPr>
            <w:tcW w:w="2161"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rFonts w:hint="eastAsia" w:ascii="宋体" w:hAnsi="宋体" w:eastAsia="宋体" w:cs="宋体"/>
                <w:color w:val="FF0000"/>
                <w:kern w:val="0"/>
                <w:szCs w:val="21"/>
              </w:rPr>
              <w:t>包含临床护理时使用的棉纱类制品如纱布、棉签、绷带、中单等一次性使用耗材</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A11081</w:t>
            </w:r>
            <w:r>
              <w:rPr>
                <w:rFonts w:hint="eastAsia"/>
                <w:color w:val="FF0000"/>
                <w:kern w:val="0"/>
                <w:szCs w:val="21"/>
                <w:lang w:val="en-US" w:eastAsia="zh-CN"/>
              </w:rPr>
              <w:t>7</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color w:val="FF0000"/>
                <w:kern w:val="0"/>
                <w:szCs w:val="21"/>
              </w:rPr>
            </w:pPr>
            <w:r>
              <w:rPr>
                <w:rFonts w:hint="eastAsia" w:ascii="宋体" w:hAnsi="宋体" w:eastAsia="宋体" w:cs="宋体"/>
                <w:color w:val="FF0000"/>
                <w:kern w:val="0"/>
                <w:szCs w:val="21"/>
              </w:rPr>
              <w:t xml:space="preserve">    消毒灭菌类耗材</w:t>
            </w:r>
          </w:p>
        </w:tc>
        <w:tc>
          <w:tcPr>
            <w:tcW w:w="2161"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rFonts w:hint="eastAsia" w:ascii="宋体" w:hAnsi="宋体" w:eastAsia="宋体" w:cs="宋体"/>
                <w:color w:val="FF0000"/>
                <w:kern w:val="0"/>
                <w:szCs w:val="21"/>
              </w:rPr>
              <w:t>包含临床使用消毒灭菌的指示卡、消毒液等消字号的一次性使用耗材</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A11081</w:t>
            </w:r>
            <w:r>
              <w:rPr>
                <w:rFonts w:hint="eastAsia"/>
                <w:color w:val="FF0000"/>
                <w:kern w:val="0"/>
                <w:szCs w:val="21"/>
                <w:lang w:val="en-US" w:eastAsia="zh-CN"/>
              </w:rPr>
              <w:t>8</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color w:val="FF0000"/>
                <w:kern w:val="0"/>
                <w:szCs w:val="21"/>
              </w:rPr>
            </w:pPr>
            <w:r>
              <w:rPr>
                <w:rFonts w:hint="eastAsia" w:ascii="宋体" w:hAnsi="宋体" w:eastAsia="宋体" w:cs="宋体"/>
                <w:color w:val="FF0000"/>
                <w:kern w:val="0"/>
                <w:szCs w:val="21"/>
              </w:rPr>
              <w:t xml:space="preserve">    骨科材料</w:t>
            </w:r>
          </w:p>
        </w:tc>
        <w:tc>
          <w:tcPr>
            <w:tcW w:w="2161"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rFonts w:hint="eastAsia" w:ascii="宋体" w:hAnsi="宋体" w:eastAsia="宋体" w:cs="宋体"/>
                <w:color w:val="FF0000"/>
                <w:kern w:val="0"/>
                <w:szCs w:val="21"/>
              </w:rPr>
              <w:t>包含骨科植入耗材及其他骨科治疗中使用的敷料、支具等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A11081</w:t>
            </w:r>
            <w:r>
              <w:rPr>
                <w:rFonts w:hint="eastAsia"/>
                <w:color w:val="FF0000"/>
                <w:kern w:val="0"/>
                <w:szCs w:val="21"/>
                <w:lang w:val="en-US" w:eastAsia="zh-CN"/>
              </w:rPr>
              <w:t>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color w:val="FF0000"/>
                <w:kern w:val="0"/>
                <w:szCs w:val="21"/>
              </w:rPr>
            </w:pPr>
            <w:r>
              <w:rPr>
                <w:rFonts w:hint="eastAsia" w:ascii="宋体" w:hAnsi="宋体" w:eastAsia="宋体" w:cs="宋体"/>
                <w:color w:val="FF0000"/>
                <w:kern w:val="0"/>
                <w:szCs w:val="21"/>
              </w:rPr>
              <w:t xml:space="preserve">    介入诊断和治疗用材料</w:t>
            </w:r>
          </w:p>
        </w:tc>
        <w:tc>
          <w:tcPr>
            <w:tcW w:w="2161" w:type="dxa"/>
            <w:tcBorders>
              <w:top w:val="single" w:color="auto" w:sz="4" w:space="0"/>
              <w:bottom w:val="single" w:color="auto" w:sz="4" w:space="0"/>
            </w:tcBorders>
            <w:vAlign w:val="center"/>
          </w:tcPr>
          <w:p>
            <w:pPr>
              <w:widowControl/>
              <w:spacing w:beforeLines="0" w:afterLines="0" w:line="300" w:lineRule="exact"/>
              <w:rPr>
                <w:bCs/>
                <w:color w:val="FF0000"/>
                <w:kern w:val="0"/>
                <w:szCs w:val="21"/>
              </w:rPr>
            </w:pPr>
            <w:r>
              <w:rPr>
                <w:rFonts w:hint="eastAsia" w:ascii="宋体" w:hAnsi="宋体" w:eastAsia="宋体" w:cs="宋体"/>
                <w:color w:val="FF0000"/>
                <w:kern w:val="0"/>
                <w:szCs w:val="21"/>
              </w:rPr>
              <w:t>包含所有血管介入类使用的起搏器、射频消融导管、支架、球囊、导管等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kern w:val="0"/>
                <w:szCs w:val="21"/>
                <w:lang w:val="en-US" w:eastAsia="zh-CN"/>
              </w:rPr>
              <w:t>省卫生计生委实行部门集中采购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widowControl/>
              <w:spacing w:beforeLines="0" w:afterLines="0" w:line="300" w:lineRule="exact"/>
              <w:jc w:val="left"/>
              <w:rPr>
                <w:strike/>
                <w:dstrike w:val="0"/>
                <w:color w:val="FF0000"/>
                <w:kern w:val="0"/>
                <w:szCs w:val="21"/>
              </w:rPr>
            </w:pPr>
            <w:r>
              <w:rPr>
                <w:rFonts w:hint="eastAsia" w:eastAsia="宋体"/>
                <w:strike w:val="0"/>
                <w:dstrike w:val="0"/>
                <w:color w:val="FF0000"/>
                <w:kern w:val="0"/>
                <w:szCs w:val="21"/>
              </w:rPr>
              <w:t>A110899</w:t>
            </w:r>
          </w:p>
        </w:tc>
        <w:tc>
          <w:tcPr>
            <w:tcW w:w="3644" w:type="dxa"/>
            <w:tcBorders>
              <w:top w:val="single" w:color="auto" w:sz="4" w:space="0"/>
              <w:bottom w:val="single" w:color="auto" w:sz="4" w:space="0"/>
            </w:tcBorders>
            <w:vAlign w:val="center"/>
          </w:tcPr>
          <w:p>
            <w:pPr>
              <w:widowControl/>
              <w:spacing w:beforeLines="0" w:afterLines="0" w:line="300" w:lineRule="exact"/>
              <w:ind w:firstLine="420" w:firstLineChars="200"/>
              <w:rPr>
                <w:rFonts w:ascii="宋体" w:hAnsi="宋体" w:eastAsia="宋体" w:cs="宋体"/>
                <w:strike/>
                <w:dstrike w:val="0"/>
                <w:color w:val="FF0000"/>
                <w:kern w:val="0"/>
                <w:szCs w:val="21"/>
              </w:rPr>
            </w:pPr>
            <w:r>
              <w:rPr>
                <w:rFonts w:hint="eastAsia" w:ascii="宋体" w:hAnsi="宋体" w:eastAsia="宋体" w:cs="宋体"/>
                <w:strike w:val="0"/>
                <w:dstrike w:val="0"/>
                <w:color w:val="FF0000"/>
                <w:kern w:val="0"/>
                <w:szCs w:val="21"/>
              </w:rPr>
              <w:t xml:space="preserve">    其他医用耗材</w:t>
            </w:r>
          </w:p>
        </w:tc>
        <w:tc>
          <w:tcPr>
            <w:tcW w:w="2161" w:type="dxa"/>
            <w:tcBorders>
              <w:top w:val="single" w:color="auto" w:sz="4" w:space="0"/>
              <w:bottom w:val="single" w:color="auto" w:sz="4" w:space="0"/>
            </w:tcBorders>
            <w:vAlign w:val="center"/>
          </w:tcPr>
          <w:p>
            <w:pPr>
              <w:widowControl/>
              <w:spacing w:beforeLines="0" w:afterLines="0" w:line="300" w:lineRule="exact"/>
              <w:rPr>
                <w:bCs/>
                <w:strike/>
                <w:dstrike w:val="0"/>
                <w:color w:val="FF0000"/>
                <w:kern w:val="0"/>
                <w:szCs w:val="21"/>
              </w:rPr>
            </w:pPr>
            <w:r>
              <w:rPr>
                <w:rFonts w:hint="eastAsia" w:ascii="宋体" w:hAnsi="宋体" w:eastAsia="宋体" w:cs="宋体"/>
                <w:strike w:val="0"/>
                <w:dstrike w:val="0"/>
                <w:color w:val="FF0000"/>
                <w:kern w:val="0"/>
                <w:szCs w:val="21"/>
              </w:rPr>
              <w:t>其他医疗机构治疗和护理过程中使用到的一次性医用耗材</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strike/>
                <w:dstrike w:val="0"/>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color w:val="FF0000"/>
                <w:kern w:val="0"/>
                <w:szCs w:val="21"/>
              </w:rPr>
              <w:t>A1199</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color w:val="FF0000"/>
                <w:kern w:val="0"/>
                <w:szCs w:val="21"/>
              </w:rPr>
            </w:pPr>
            <w:r>
              <w:rPr>
                <w:color w:val="FF0000"/>
                <w:kern w:val="0"/>
                <w:szCs w:val="21"/>
              </w:rPr>
              <w:t>其他医药品</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A12</w:t>
            </w:r>
          </w:p>
        </w:tc>
        <w:tc>
          <w:tcPr>
            <w:tcW w:w="3644"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农林牧渔业产品</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A1201</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bCs/>
                <w:kern w:val="0"/>
                <w:szCs w:val="21"/>
              </w:rPr>
            </w:pPr>
            <w:r>
              <w:rPr>
                <w:bCs/>
                <w:kern w:val="0"/>
                <w:szCs w:val="21"/>
              </w:rPr>
              <w:t>特种用途动、植物</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包括名贵树木、花卉等植物，实验用动物、动物良种、观赏动物、警用动物和助残动物等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A1202</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bCs/>
                <w:kern w:val="0"/>
                <w:szCs w:val="21"/>
              </w:rPr>
            </w:pPr>
            <w:r>
              <w:rPr>
                <w:bCs/>
                <w:kern w:val="0"/>
                <w:szCs w:val="21"/>
              </w:rPr>
              <w:t>农产品</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A1203</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bCs/>
                <w:kern w:val="0"/>
                <w:szCs w:val="21"/>
              </w:rPr>
            </w:pPr>
            <w:r>
              <w:rPr>
                <w:bCs/>
                <w:kern w:val="0"/>
                <w:szCs w:val="21"/>
              </w:rPr>
              <w:t>林产品</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A1204</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bCs/>
                <w:kern w:val="0"/>
                <w:szCs w:val="21"/>
              </w:rPr>
            </w:pPr>
            <w:r>
              <w:rPr>
                <w:bCs/>
                <w:kern w:val="0"/>
                <w:szCs w:val="21"/>
              </w:rPr>
              <w:t>饲养动物及其产品</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A1205</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bCs/>
                <w:kern w:val="0"/>
                <w:szCs w:val="21"/>
              </w:rPr>
            </w:pPr>
            <w:r>
              <w:rPr>
                <w:bCs/>
                <w:kern w:val="0"/>
                <w:szCs w:val="21"/>
              </w:rPr>
              <w:t>渔业产品</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A13</w:t>
            </w:r>
          </w:p>
        </w:tc>
        <w:tc>
          <w:tcPr>
            <w:tcW w:w="3644"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矿与矿物</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A14</w:t>
            </w:r>
          </w:p>
        </w:tc>
        <w:tc>
          <w:tcPr>
            <w:tcW w:w="3644"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电力、城市燃气、蒸汽和热水、水</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A15</w:t>
            </w:r>
          </w:p>
        </w:tc>
        <w:tc>
          <w:tcPr>
            <w:tcW w:w="3644"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食品、饮料和烟草原料</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A16</w:t>
            </w:r>
          </w:p>
        </w:tc>
        <w:tc>
          <w:tcPr>
            <w:tcW w:w="3644"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炼焦产品、炼油产品</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A17</w:t>
            </w:r>
          </w:p>
        </w:tc>
        <w:tc>
          <w:tcPr>
            <w:tcW w:w="3644"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基础化学品及相关产品</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A18</w:t>
            </w:r>
          </w:p>
        </w:tc>
        <w:tc>
          <w:tcPr>
            <w:tcW w:w="3644"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橡胶、塑料、玻璃和陶瓷制品</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A19</w:t>
            </w:r>
          </w:p>
        </w:tc>
        <w:tc>
          <w:tcPr>
            <w:tcW w:w="3644"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无形资产</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A20</w:t>
            </w:r>
          </w:p>
        </w:tc>
        <w:tc>
          <w:tcPr>
            <w:tcW w:w="3644"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辅助学习资源</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限于全省教育系统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A2001</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音像教材</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限于义务教育，全省统一集中采购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A2002</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学具</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限于义务教育，全省统一集中采购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A2003</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科学计算器</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限于义务教育，全省统一集中采购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A2004</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教育信息化工程辅助学习资源</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直接从市场购买的、非定制开发的、成熟的商业教育信息化工程辅助学习资源</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高中（含）以下普通中小学校，中等职业学校。全省教育系统所属学校由省教育厅实行部门集中采购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A2005</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教育教学软件</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rFonts w:hint="eastAsia"/>
                <w:color w:val="FF0000"/>
                <w:kern w:val="0"/>
                <w:szCs w:val="21"/>
              </w:rPr>
              <w:t>直接从市场购买的、非定制开发的、成熟的商业教育教学软件</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高中（含）以下学校。全省教育系统所属学校由省教育厅实行部门集中采购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A2006</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学前教育玩教具</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全省教育系统所属学前教育学校由省教育厅实行部门集中采购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A2099</w:t>
            </w:r>
          </w:p>
        </w:tc>
        <w:tc>
          <w:tcPr>
            <w:tcW w:w="3644" w:type="dxa"/>
            <w:tcBorders>
              <w:top w:val="single" w:color="auto" w:sz="4" w:space="0"/>
              <w:bottom w:val="single" w:color="auto" w:sz="4" w:space="0"/>
            </w:tcBorders>
            <w:vAlign w:val="center"/>
          </w:tcPr>
          <w:p>
            <w:pPr>
              <w:widowControl/>
              <w:spacing w:beforeLines="0" w:afterLines="0" w:line="300" w:lineRule="exact"/>
              <w:ind w:firstLine="210" w:firstLineChars="100"/>
              <w:rPr>
                <w:kern w:val="0"/>
                <w:szCs w:val="21"/>
              </w:rPr>
            </w:pPr>
            <w:r>
              <w:rPr>
                <w:kern w:val="0"/>
                <w:szCs w:val="21"/>
              </w:rPr>
              <w:t>其他辅助学习资源</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A99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其他货物</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jc w:val="center"/>
              <w:rPr>
                <w:bCs/>
                <w:kern w:val="0"/>
                <w:szCs w:val="21"/>
              </w:rPr>
            </w:pPr>
            <w:r>
              <w:rPr>
                <w:bCs/>
                <w:kern w:val="0"/>
                <w:szCs w:val="21"/>
              </w:rPr>
              <w:t>B</w:t>
            </w:r>
          </w:p>
        </w:tc>
        <w:tc>
          <w:tcPr>
            <w:tcW w:w="3644" w:type="dxa"/>
            <w:tcBorders>
              <w:top w:val="single" w:color="auto" w:sz="4" w:space="0"/>
              <w:bottom w:val="single" w:color="auto" w:sz="4" w:space="0"/>
            </w:tcBorders>
            <w:vAlign w:val="center"/>
          </w:tcPr>
          <w:p>
            <w:pPr>
              <w:widowControl/>
              <w:spacing w:beforeLines="0" w:afterLines="0" w:line="300" w:lineRule="exact"/>
              <w:jc w:val="center"/>
              <w:rPr>
                <w:bCs/>
                <w:kern w:val="0"/>
                <w:szCs w:val="21"/>
              </w:rPr>
            </w:pPr>
            <w:r>
              <w:rPr>
                <w:bCs/>
                <w:kern w:val="0"/>
                <w:szCs w:val="21"/>
              </w:rPr>
              <w:t>工程类</w:t>
            </w:r>
          </w:p>
        </w:tc>
        <w:tc>
          <w:tcPr>
            <w:tcW w:w="2161" w:type="dxa"/>
            <w:tcBorders>
              <w:top w:val="single" w:color="auto" w:sz="4" w:space="0"/>
              <w:bottom w:val="single" w:color="auto" w:sz="4" w:space="0"/>
            </w:tcBorders>
            <w:vAlign w:val="center"/>
          </w:tcPr>
          <w:p>
            <w:pPr>
              <w:widowControl/>
              <w:spacing w:beforeLines="0" w:afterLines="0" w:line="300" w:lineRule="exact"/>
              <w:jc w:val="center"/>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建筑物施工</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B0104</w:t>
            </w:r>
          </w:p>
        </w:tc>
        <w:tc>
          <w:tcPr>
            <w:tcW w:w="3644" w:type="dxa"/>
            <w:tcBorders>
              <w:top w:val="single" w:color="auto" w:sz="4" w:space="0"/>
              <w:bottom w:val="single" w:color="auto" w:sz="4" w:space="0"/>
            </w:tcBorders>
            <w:vAlign w:val="top"/>
          </w:tcPr>
          <w:p>
            <w:pPr>
              <w:spacing w:beforeLines="0" w:afterLines="0" w:line="300" w:lineRule="exact"/>
              <w:ind w:firstLine="210" w:firstLineChars="100"/>
              <w:rPr>
                <w:szCs w:val="24"/>
              </w:rPr>
            </w:pPr>
            <w:r>
              <w:rPr>
                <w:szCs w:val="24"/>
              </w:rPr>
              <w:t>行政单位用房施工</w:t>
            </w:r>
          </w:p>
        </w:tc>
        <w:tc>
          <w:tcPr>
            <w:tcW w:w="2161" w:type="dxa"/>
            <w:tcBorders>
              <w:top w:val="single" w:color="auto" w:sz="4" w:space="0"/>
              <w:bottom w:val="single" w:color="auto" w:sz="4" w:space="0"/>
            </w:tcBorders>
            <w:vAlign w:val="center"/>
          </w:tcPr>
          <w:p>
            <w:pPr>
              <w:widowControl/>
              <w:spacing w:beforeLines="0" w:afterLines="0" w:line="300" w:lineRule="exact"/>
              <w:rPr>
                <w:b/>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B010401</w:t>
            </w:r>
          </w:p>
        </w:tc>
        <w:tc>
          <w:tcPr>
            <w:tcW w:w="3644" w:type="dxa"/>
            <w:tcBorders>
              <w:top w:val="single" w:color="auto" w:sz="4" w:space="0"/>
              <w:bottom w:val="single" w:color="auto" w:sz="4" w:space="0"/>
            </w:tcBorders>
            <w:vAlign w:val="top"/>
          </w:tcPr>
          <w:p>
            <w:pPr>
              <w:spacing w:beforeLines="0" w:afterLines="0" w:line="300" w:lineRule="exact"/>
              <w:ind w:firstLine="420" w:firstLineChars="200"/>
              <w:rPr>
                <w:szCs w:val="24"/>
              </w:rPr>
            </w:pPr>
            <w:r>
              <w:rPr>
                <w:szCs w:val="24"/>
              </w:rPr>
              <w:t>办公用房施工</w:t>
            </w:r>
          </w:p>
        </w:tc>
        <w:tc>
          <w:tcPr>
            <w:tcW w:w="2161" w:type="dxa"/>
            <w:tcBorders>
              <w:top w:val="single" w:color="auto" w:sz="4" w:space="0"/>
              <w:bottom w:val="single" w:color="auto" w:sz="4" w:space="0"/>
            </w:tcBorders>
            <w:vAlign w:val="center"/>
          </w:tcPr>
          <w:p>
            <w:pPr>
              <w:widowControl/>
              <w:spacing w:beforeLines="0" w:afterLines="0" w:line="300" w:lineRule="exact"/>
              <w:rPr>
                <w:b/>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B010402</w:t>
            </w:r>
          </w:p>
        </w:tc>
        <w:tc>
          <w:tcPr>
            <w:tcW w:w="3644" w:type="dxa"/>
            <w:tcBorders>
              <w:top w:val="single" w:color="auto" w:sz="4" w:space="0"/>
              <w:bottom w:val="single" w:color="auto" w:sz="4" w:space="0"/>
            </w:tcBorders>
            <w:vAlign w:val="top"/>
          </w:tcPr>
          <w:p>
            <w:pPr>
              <w:spacing w:beforeLines="0" w:afterLines="0" w:line="300" w:lineRule="exact"/>
              <w:ind w:firstLine="420" w:firstLineChars="200"/>
              <w:rPr>
                <w:szCs w:val="24"/>
              </w:rPr>
            </w:pPr>
            <w:r>
              <w:rPr>
                <w:szCs w:val="24"/>
              </w:rPr>
              <w:t>业务用房施工</w:t>
            </w:r>
          </w:p>
        </w:tc>
        <w:tc>
          <w:tcPr>
            <w:tcW w:w="2161" w:type="dxa"/>
            <w:tcBorders>
              <w:top w:val="single" w:color="auto" w:sz="4" w:space="0"/>
              <w:bottom w:val="single" w:color="auto" w:sz="4" w:space="0"/>
            </w:tcBorders>
            <w:vAlign w:val="center"/>
          </w:tcPr>
          <w:p>
            <w:pPr>
              <w:widowControl/>
              <w:spacing w:beforeLines="0" w:afterLines="0" w:line="300" w:lineRule="exact"/>
              <w:rPr>
                <w:b/>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B0105</w:t>
            </w:r>
          </w:p>
        </w:tc>
        <w:tc>
          <w:tcPr>
            <w:tcW w:w="3644" w:type="dxa"/>
            <w:tcBorders>
              <w:top w:val="single" w:color="auto" w:sz="4" w:space="0"/>
              <w:bottom w:val="single" w:color="auto" w:sz="4" w:space="0"/>
            </w:tcBorders>
            <w:vAlign w:val="top"/>
          </w:tcPr>
          <w:p>
            <w:pPr>
              <w:spacing w:beforeLines="0" w:afterLines="0" w:line="300" w:lineRule="exact"/>
              <w:ind w:firstLine="210" w:firstLineChars="100"/>
              <w:rPr>
                <w:szCs w:val="24"/>
              </w:rPr>
            </w:pPr>
            <w:r>
              <w:rPr>
                <w:szCs w:val="24"/>
              </w:rPr>
              <w:t>公共安全用房施工</w:t>
            </w:r>
          </w:p>
        </w:tc>
        <w:tc>
          <w:tcPr>
            <w:tcW w:w="2161" w:type="dxa"/>
            <w:tcBorders>
              <w:top w:val="single" w:color="auto" w:sz="4" w:space="0"/>
              <w:bottom w:val="single" w:color="auto" w:sz="4" w:space="0"/>
            </w:tcBorders>
            <w:vAlign w:val="center"/>
          </w:tcPr>
          <w:p>
            <w:pPr>
              <w:widowControl/>
              <w:spacing w:beforeLines="0" w:afterLines="0" w:line="300" w:lineRule="exact"/>
              <w:rPr>
                <w:b/>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B010501</w:t>
            </w:r>
          </w:p>
        </w:tc>
        <w:tc>
          <w:tcPr>
            <w:tcW w:w="3644" w:type="dxa"/>
            <w:tcBorders>
              <w:top w:val="single" w:color="auto" w:sz="4" w:space="0"/>
              <w:bottom w:val="single" w:color="auto" w:sz="4" w:space="0"/>
            </w:tcBorders>
            <w:vAlign w:val="top"/>
          </w:tcPr>
          <w:p>
            <w:pPr>
              <w:spacing w:beforeLines="0" w:afterLines="0" w:line="300" w:lineRule="exact"/>
              <w:ind w:firstLine="420" w:firstLineChars="200"/>
              <w:rPr>
                <w:szCs w:val="24"/>
              </w:rPr>
            </w:pPr>
            <w:r>
              <w:rPr>
                <w:szCs w:val="24"/>
              </w:rPr>
              <w:t>监狱施工</w:t>
            </w:r>
          </w:p>
        </w:tc>
        <w:tc>
          <w:tcPr>
            <w:tcW w:w="2161" w:type="dxa"/>
            <w:tcBorders>
              <w:top w:val="single" w:color="auto" w:sz="4" w:space="0"/>
              <w:bottom w:val="single" w:color="auto" w:sz="4" w:space="0"/>
            </w:tcBorders>
            <w:vAlign w:val="center"/>
          </w:tcPr>
          <w:p>
            <w:pPr>
              <w:widowControl/>
              <w:spacing w:beforeLines="0" w:afterLines="0" w:line="300" w:lineRule="exact"/>
              <w:rPr>
                <w:b/>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B010502</w:t>
            </w:r>
          </w:p>
        </w:tc>
        <w:tc>
          <w:tcPr>
            <w:tcW w:w="3644" w:type="dxa"/>
            <w:tcBorders>
              <w:top w:val="single" w:color="auto" w:sz="4" w:space="0"/>
              <w:bottom w:val="single" w:color="auto" w:sz="4" w:space="0"/>
            </w:tcBorders>
            <w:vAlign w:val="top"/>
          </w:tcPr>
          <w:p>
            <w:pPr>
              <w:spacing w:beforeLines="0" w:afterLines="0" w:line="300" w:lineRule="exact"/>
              <w:ind w:firstLine="420" w:firstLineChars="200"/>
              <w:rPr>
                <w:szCs w:val="24"/>
              </w:rPr>
            </w:pPr>
            <w:r>
              <w:rPr>
                <w:szCs w:val="24"/>
              </w:rPr>
              <w:t>看守所施工</w:t>
            </w:r>
          </w:p>
        </w:tc>
        <w:tc>
          <w:tcPr>
            <w:tcW w:w="2161" w:type="dxa"/>
            <w:tcBorders>
              <w:top w:val="single" w:color="auto" w:sz="4" w:space="0"/>
              <w:bottom w:val="single" w:color="auto" w:sz="4" w:space="0"/>
            </w:tcBorders>
            <w:vAlign w:val="center"/>
          </w:tcPr>
          <w:p>
            <w:pPr>
              <w:widowControl/>
              <w:spacing w:beforeLines="0" w:afterLines="0" w:line="300" w:lineRule="exact"/>
              <w:rPr>
                <w:b/>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B010503</w:t>
            </w:r>
          </w:p>
        </w:tc>
        <w:tc>
          <w:tcPr>
            <w:tcW w:w="3644" w:type="dxa"/>
            <w:tcBorders>
              <w:top w:val="single" w:color="auto" w:sz="4" w:space="0"/>
              <w:bottom w:val="single" w:color="auto" w:sz="4" w:space="0"/>
            </w:tcBorders>
            <w:vAlign w:val="top"/>
          </w:tcPr>
          <w:p>
            <w:pPr>
              <w:spacing w:beforeLines="0" w:afterLines="0" w:line="300" w:lineRule="exact"/>
              <w:ind w:firstLine="420" w:firstLineChars="200"/>
              <w:rPr>
                <w:szCs w:val="24"/>
              </w:rPr>
            </w:pPr>
            <w:r>
              <w:rPr>
                <w:szCs w:val="24"/>
              </w:rPr>
              <w:t>劳教所施工</w:t>
            </w:r>
          </w:p>
        </w:tc>
        <w:tc>
          <w:tcPr>
            <w:tcW w:w="2161" w:type="dxa"/>
            <w:tcBorders>
              <w:top w:val="single" w:color="auto" w:sz="4" w:space="0"/>
              <w:bottom w:val="single" w:color="auto" w:sz="4" w:space="0"/>
            </w:tcBorders>
            <w:vAlign w:val="center"/>
          </w:tcPr>
          <w:p>
            <w:pPr>
              <w:widowControl/>
              <w:spacing w:beforeLines="0" w:afterLines="0" w:line="300" w:lineRule="exact"/>
              <w:rPr>
                <w:b/>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B010504</w:t>
            </w:r>
          </w:p>
        </w:tc>
        <w:tc>
          <w:tcPr>
            <w:tcW w:w="3644" w:type="dxa"/>
            <w:tcBorders>
              <w:top w:val="single" w:color="auto" w:sz="4" w:space="0"/>
              <w:bottom w:val="single" w:color="auto" w:sz="4" w:space="0"/>
            </w:tcBorders>
            <w:vAlign w:val="top"/>
          </w:tcPr>
          <w:p>
            <w:pPr>
              <w:spacing w:beforeLines="0" w:afterLines="0" w:line="300" w:lineRule="exact"/>
              <w:ind w:firstLine="420" w:firstLineChars="200"/>
              <w:rPr>
                <w:szCs w:val="24"/>
              </w:rPr>
            </w:pPr>
            <w:r>
              <w:rPr>
                <w:szCs w:val="24"/>
              </w:rPr>
              <w:t>拘留所施工</w:t>
            </w:r>
          </w:p>
        </w:tc>
        <w:tc>
          <w:tcPr>
            <w:tcW w:w="2161" w:type="dxa"/>
            <w:tcBorders>
              <w:top w:val="single" w:color="auto" w:sz="4" w:space="0"/>
              <w:bottom w:val="single" w:color="auto" w:sz="4" w:space="0"/>
            </w:tcBorders>
            <w:vAlign w:val="center"/>
          </w:tcPr>
          <w:p>
            <w:pPr>
              <w:widowControl/>
              <w:spacing w:beforeLines="0" w:afterLines="0" w:line="300" w:lineRule="exact"/>
              <w:rPr>
                <w:b/>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B010505</w:t>
            </w:r>
          </w:p>
        </w:tc>
        <w:tc>
          <w:tcPr>
            <w:tcW w:w="3644" w:type="dxa"/>
            <w:tcBorders>
              <w:top w:val="single" w:color="auto" w:sz="4" w:space="0"/>
              <w:bottom w:val="single" w:color="auto" w:sz="4" w:space="0"/>
            </w:tcBorders>
            <w:vAlign w:val="top"/>
          </w:tcPr>
          <w:p>
            <w:pPr>
              <w:spacing w:beforeLines="0" w:afterLines="0" w:line="300" w:lineRule="exact"/>
              <w:ind w:firstLine="420" w:firstLineChars="200"/>
              <w:rPr>
                <w:szCs w:val="24"/>
              </w:rPr>
            </w:pPr>
            <w:r>
              <w:rPr>
                <w:szCs w:val="24"/>
              </w:rPr>
              <w:t>戒毒所施工</w:t>
            </w:r>
          </w:p>
        </w:tc>
        <w:tc>
          <w:tcPr>
            <w:tcW w:w="2161" w:type="dxa"/>
            <w:tcBorders>
              <w:top w:val="single" w:color="auto" w:sz="4" w:space="0"/>
              <w:bottom w:val="single" w:color="auto" w:sz="4" w:space="0"/>
            </w:tcBorders>
            <w:vAlign w:val="center"/>
          </w:tcPr>
          <w:p>
            <w:pPr>
              <w:widowControl/>
              <w:spacing w:beforeLines="0" w:afterLines="0" w:line="300" w:lineRule="exact"/>
              <w:rPr>
                <w:b/>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B010599</w:t>
            </w:r>
          </w:p>
        </w:tc>
        <w:tc>
          <w:tcPr>
            <w:tcW w:w="3644" w:type="dxa"/>
            <w:tcBorders>
              <w:top w:val="single" w:color="auto" w:sz="4" w:space="0"/>
              <w:bottom w:val="single" w:color="auto" w:sz="4" w:space="0"/>
            </w:tcBorders>
            <w:vAlign w:val="top"/>
          </w:tcPr>
          <w:p>
            <w:pPr>
              <w:spacing w:beforeLines="0" w:afterLines="0" w:line="300" w:lineRule="exact"/>
              <w:ind w:firstLine="420" w:firstLineChars="200"/>
              <w:rPr>
                <w:szCs w:val="24"/>
              </w:rPr>
            </w:pPr>
            <w:r>
              <w:rPr>
                <w:szCs w:val="24"/>
              </w:rPr>
              <w:t>其他公共安全用房施工</w:t>
            </w:r>
          </w:p>
        </w:tc>
        <w:tc>
          <w:tcPr>
            <w:tcW w:w="2161" w:type="dxa"/>
            <w:tcBorders>
              <w:top w:val="single" w:color="auto" w:sz="4" w:space="0"/>
              <w:bottom w:val="single" w:color="auto" w:sz="4" w:space="0"/>
            </w:tcBorders>
            <w:vAlign w:val="center"/>
          </w:tcPr>
          <w:p>
            <w:pPr>
              <w:widowControl/>
              <w:spacing w:beforeLines="0" w:afterLines="0" w:line="300" w:lineRule="exact"/>
              <w:rPr>
                <w:b/>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B0106</w:t>
            </w:r>
          </w:p>
        </w:tc>
        <w:tc>
          <w:tcPr>
            <w:tcW w:w="3644" w:type="dxa"/>
            <w:tcBorders>
              <w:top w:val="single" w:color="auto" w:sz="4" w:space="0"/>
              <w:bottom w:val="single" w:color="auto" w:sz="4" w:space="0"/>
            </w:tcBorders>
            <w:vAlign w:val="top"/>
          </w:tcPr>
          <w:p>
            <w:pPr>
              <w:spacing w:beforeLines="0" w:afterLines="0" w:line="300" w:lineRule="exact"/>
              <w:ind w:firstLine="210" w:firstLineChars="100"/>
              <w:rPr>
                <w:szCs w:val="24"/>
              </w:rPr>
            </w:pPr>
            <w:r>
              <w:rPr>
                <w:szCs w:val="24"/>
              </w:rPr>
              <w:t>事业单位用房施工</w:t>
            </w:r>
          </w:p>
        </w:tc>
        <w:tc>
          <w:tcPr>
            <w:tcW w:w="2161" w:type="dxa"/>
            <w:tcBorders>
              <w:top w:val="single" w:color="auto" w:sz="4" w:space="0"/>
              <w:bottom w:val="single" w:color="auto" w:sz="4" w:space="0"/>
            </w:tcBorders>
            <w:vAlign w:val="center"/>
          </w:tcPr>
          <w:p>
            <w:pPr>
              <w:widowControl/>
              <w:spacing w:beforeLines="0" w:afterLines="0" w:line="300" w:lineRule="exact"/>
              <w:rPr>
                <w:b/>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B010601</w:t>
            </w:r>
          </w:p>
        </w:tc>
        <w:tc>
          <w:tcPr>
            <w:tcW w:w="3644" w:type="dxa"/>
            <w:tcBorders>
              <w:top w:val="single" w:color="auto" w:sz="4" w:space="0"/>
              <w:bottom w:val="single" w:color="auto" w:sz="4" w:space="0"/>
            </w:tcBorders>
            <w:vAlign w:val="top"/>
          </w:tcPr>
          <w:p>
            <w:pPr>
              <w:spacing w:beforeLines="0" w:afterLines="0" w:line="300" w:lineRule="exact"/>
              <w:ind w:firstLine="420" w:firstLineChars="200"/>
              <w:rPr>
                <w:szCs w:val="24"/>
              </w:rPr>
            </w:pPr>
            <w:r>
              <w:rPr>
                <w:szCs w:val="24"/>
              </w:rPr>
              <w:t>教育用房施工</w:t>
            </w:r>
          </w:p>
        </w:tc>
        <w:tc>
          <w:tcPr>
            <w:tcW w:w="2161" w:type="dxa"/>
            <w:tcBorders>
              <w:top w:val="single" w:color="auto" w:sz="4" w:space="0"/>
              <w:bottom w:val="single" w:color="auto" w:sz="4" w:space="0"/>
            </w:tcBorders>
            <w:vAlign w:val="center"/>
          </w:tcPr>
          <w:p>
            <w:pPr>
              <w:widowControl/>
              <w:spacing w:beforeLines="0" w:afterLines="0" w:line="300" w:lineRule="exact"/>
              <w:rPr>
                <w:b/>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B010602</w:t>
            </w:r>
          </w:p>
        </w:tc>
        <w:tc>
          <w:tcPr>
            <w:tcW w:w="3644" w:type="dxa"/>
            <w:tcBorders>
              <w:top w:val="single" w:color="auto" w:sz="4" w:space="0"/>
              <w:bottom w:val="single" w:color="auto" w:sz="4" w:space="0"/>
            </w:tcBorders>
            <w:vAlign w:val="top"/>
          </w:tcPr>
          <w:p>
            <w:pPr>
              <w:spacing w:beforeLines="0" w:afterLines="0" w:line="300" w:lineRule="exact"/>
              <w:ind w:firstLine="420" w:firstLineChars="200"/>
              <w:rPr>
                <w:szCs w:val="24"/>
              </w:rPr>
            </w:pPr>
            <w:r>
              <w:rPr>
                <w:szCs w:val="24"/>
              </w:rPr>
              <w:t>科研用房施工</w:t>
            </w:r>
          </w:p>
        </w:tc>
        <w:tc>
          <w:tcPr>
            <w:tcW w:w="2161" w:type="dxa"/>
            <w:tcBorders>
              <w:top w:val="single" w:color="auto" w:sz="4" w:space="0"/>
              <w:bottom w:val="single" w:color="auto" w:sz="4" w:space="0"/>
            </w:tcBorders>
            <w:vAlign w:val="center"/>
          </w:tcPr>
          <w:p>
            <w:pPr>
              <w:widowControl/>
              <w:spacing w:beforeLines="0" w:afterLines="0" w:line="300" w:lineRule="exact"/>
              <w:rPr>
                <w:b/>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B010603</w:t>
            </w:r>
          </w:p>
        </w:tc>
        <w:tc>
          <w:tcPr>
            <w:tcW w:w="3644" w:type="dxa"/>
            <w:tcBorders>
              <w:top w:val="single" w:color="auto" w:sz="4" w:space="0"/>
              <w:bottom w:val="single" w:color="auto" w:sz="4" w:space="0"/>
            </w:tcBorders>
            <w:vAlign w:val="top"/>
          </w:tcPr>
          <w:p>
            <w:pPr>
              <w:spacing w:beforeLines="0" w:afterLines="0" w:line="300" w:lineRule="exact"/>
              <w:ind w:firstLine="420" w:firstLineChars="200"/>
              <w:rPr>
                <w:szCs w:val="24"/>
              </w:rPr>
            </w:pPr>
            <w:r>
              <w:rPr>
                <w:szCs w:val="24"/>
              </w:rPr>
              <w:t>新闻出版用房施工</w:t>
            </w:r>
          </w:p>
        </w:tc>
        <w:tc>
          <w:tcPr>
            <w:tcW w:w="2161" w:type="dxa"/>
            <w:tcBorders>
              <w:top w:val="single" w:color="auto" w:sz="4" w:space="0"/>
              <w:bottom w:val="single" w:color="auto" w:sz="4" w:space="0"/>
            </w:tcBorders>
            <w:vAlign w:val="center"/>
          </w:tcPr>
          <w:p>
            <w:pPr>
              <w:widowControl/>
              <w:spacing w:beforeLines="0" w:afterLines="0" w:line="300" w:lineRule="exact"/>
              <w:rPr>
                <w:b/>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B010604</w:t>
            </w:r>
          </w:p>
        </w:tc>
        <w:tc>
          <w:tcPr>
            <w:tcW w:w="3644" w:type="dxa"/>
            <w:tcBorders>
              <w:top w:val="single" w:color="auto" w:sz="4" w:space="0"/>
              <w:bottom w:val="single" w:color="auto" w:sz="4" w:space="0"/>
            </w:tcBorders>
            <w:vAlign w:val="top"/>
          </w:tcPr>
          <w:p>
            <w:pPr>
              <w:spacing w:beforeLines="0" w:afterLines="0" w:line="300" w:lineRule="exact"/>
              <w:ind w:firstLine="420" w:firstLineChars="200"/>
              <w:rPr>
                <w:szCs w:val="24"/>
              </w:rPr>
            </w:pPr>
            <w:r>
              <w:rPr>
                <w:szCs w:val="24"/>
              </w:rPr>
              <w:t>图书档案用房施工</w:t>
            </w:r>
          </w:p>
        </w:tc>
        <w:tc>
          <w:tcPr>
            <w:tcW w:w="2161" w:type="dxa"/>
            <w:tcBorders>
              <w:top w:val="single" w:color="auto" w:sz="4" w:space="0"/>
              <w:bottom w:val="single" w:color="auto" w:sz="4" w:space="0"/>
            </w:tcBorders>
            <w:vAlign w:val="center"/>
          </w:tcPr>
          <w:p>
            <w:pPr>
              <w:widowControl/>
              <w:spacing w:beforeLines="0" w:afterLines="0" w:line="300" w:lineRule="exact"/>
              <w:rPr>
                <w:b/>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B010605</w:t>
            </w:r>
          </w:p>
        </w:tc>
        <w:tc>
          <w:tcPr>
            <w:tcW w:w="3644" w:type="dxa"/>
            <w:tcBorders>
              <w:top w:val="single" w:color="auto" w:sz="4" w:space="0"/>
              <w:bottom w:val="single" w:color="auto" w:sz="4" w:space="0"/>
            </w:tcBorders>
            <w:vAlign w:val="top"/>
          </w:tcPr>
          <w:p>
            <w:pPr>
              <w:spacing w:beforeLines="0" w:afterLines="0" w:line="300" w:lineRule="exact"/>
              <w:ind w:firstLine="420" w:firstLineChars="200"/>
              <w:rPr>
                <w:szCs w:val="24"/>
              </w:rPr>
            </w:pPr>
            <w:r>
              <w:rPr>
                <w:szCs w:val="24"/>
              </w:rPr>
              <w:t>医卫慈善用房施工</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B010606</w:t>
            </w:r>
          </w:p>
        </w:tc>
        <w:tc>
          <w:tcPr>
            <w:tcW w:w="3644" w:type="dxa"/>
            <w:tcBorders>
              <w:top w:val="single" w:color="auto" w:sz="4" w:space="0"/>
              <w:bottom w:val="single" w:color="auto" w:sz="4" w:space="0"/>
            </w:tcBorders>
            <w:vAlign w:val="top"/>
          </w:tcPr>
          <w:p>
            <w:pPr>
              <w:spacing w:beforeLines="0" w:afterLines="0" w:line="300" w:lineRule="exact"/>
              <w:ind w:firstLine="420" w:firstLineChars="200"/>
              <w:rPr>
                <w:szCs w:val="24"/>
              </w:rPr>
            </w:pPr>
            <w:r>
              <w:rPr>
                <w:szCs w:val="24"/>
              </w:rPr>
              <w:t>文体和艺术团体用房施工</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B010699</w:t>
            </w:r>
          </w:p>
        </w:tc>
        <w:tc>
          <w:tcPr>
            <w:tcW w:w="3644" w:type="dxa"/>
            <w:tcBorders>
              <w:top w:val="single" w:color="auto" w:sz="4" w:space="0"/>
              <w:bottom w:val="single" w:color="auto" w:sz="4" w:space="0"/>
            </w:tcBorders>
            <w:vAlign w:val="top"/>
          </w:tcPr>
          <w:p>
            <w:pPr>
              <w:spacing w:beforeLines="0" w:afterLines="0" w:line="300" w:lineRule="exact"/>
              <w:ind w:firstLine="420" w:firstLineChars="200"/>
              <w:rPr>
                <w:szCs w:val="24"/>
              </w:rPr>
            </w:pPr>
            <w:r>
              <w:rPr>
                <w:szCs w:val="24"/>
              </w:rPr>
              <w:t>其他事业单位用房施工</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B0107</w:t>
            </w:r>
          </w:p>
        </w:tc>
        <w:tc>
          <w:tcPr>
            <w:tcW w:w="3644" w:type="dxa"/>
            <w:tcBorders>
              <w:top w:val="single" w:color="auto" w:sz="4" w:space="0"/>
              <w:bottom w:val="single" w:color="auto" w:sz="4" w:space="0"/>
            </w:tcBorders>
            <w:vAlign w:val="top"/>
          </w:tcPr>
          <w:p>
            <w:pPr>
              <w:spacing w:beforeLines="0" w:afterLines="0" w:line="300" w:lineRule="exact"/>
              <w:ind w:firstLine="210" w:firstLineChars="100"/>
              <w:rPr>
                <w:szCs w:val="24"/>
              </w:rPr>
            </w:pPr>
            <w:r>
              <w:rPr>
                <w:szCs w:val="24"/>
              </w:rPr>
              <w:t>社会团体用房施工</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spacing w:beforeLines="0" w:afterLines="0" w:line="300" w:lineRule="exact"/>
              <w:rPr>
                <w:sz w:val="24"/>
                <w:szCs w:val="24"/>
              </w:rPr>
            </w:pPr>
            <w:r>
              <w:rPr>
                <w:szCs w:val="24"/>
              </w:rPr>
              <w:t>B0111</w:t>
            </w:r>
          </w:p>
        </w:tc>
        <w:tc>
          <w:tcPr>
            <w:tcW w:w="3644" w:type="dxa"/>
            <w:tcBorders>
              <w:top w:val="single" w:color="auto" w:sz="4" w:space="0"/>
              <w:bottom w:val="single" w:color="auto" w:sz="4" w:space="0"/>
            </w:tcBorders>
            <w:vAlign w:val="center"/>
          </w:tcPr>
          <w:p>
            <w:pPr>
              <w:spacing w:beforeLines="0" w:afterLines="0" w:line="300" w:lineRule="exact"/>
              <w:ind w:firstLine="210" w:firstLineChars="100"/>
              <w:rPr>
                <w:sz w:val="24"/>
                <w:szCs w:val="24"/>
              </w:rPr>
            </w:pPr>
            <w:r>
              <w:rPr>
                <w:szCs w:val="24"/>
              </w:rPr>
              <w:t>居住用房施工</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spacing w:beforeLines="0" w:afterLines="0" w:line="300" w:lineRule="exact"/>
              <w:rPr>
                <w:sz w:val="24"/>
                <w:szCs w:val="24"/>
              </w:rPr>
            </w:pPr>
            <w:r>
              <w:rPr>
                <w:szCs w:val="24"/>
              </w:rPr>
              <w:t>B0112</w:t>
            </w:r>
          </w:p>
        </w:tc>
        <w:tc>
          <w:tcPr>
            <w:tcW w:w="3644" w:type="dxa"/>
            <w:tcBorders>
              <w:top w:val="single" w:color="auto" w:sz="4" w:space="0"/>
              <w:bottom w:val="single" w:color="auto" w:sz="4" w:space="0"/>
            </w:tcBorders>
            <w:vAlign w:val="center"/>
          </w:tcPr>
          <w:p>
            <w:pPr>
              <w:spacing w:beforeLines="0" w:afterLines="0" w:line="300" w:lineRule="exact"/>
              <w:ind w:firstLine="210" w:firstLineChars="100"/>
              <w:rPr>
                <w:sz w:val="24"/>
                <w:szCs w:val="24"/>
              </w:rPr>
            </w:pPr>
            <w:r>
              <w:rPr>
                <w:szCs w:val="24"/>
              </w:rPr>
              <w:t>体育和娱乐用房施工</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B011201</w:t>
            </w:r>
          </w:p>
        </w:tc>
        <w:tc>
          <w:tcPr>
            <w:tcW w:w="3644" w:type="dxa"/>
            <w:tcBorders>
              <w:top w:val="single" w:color="auto" w:sz="4" w:space="0"/>
              <w:bottom w:val="single" w:color="auto" w:sz="4" w:space="0"/>
            </w:tcBorders>
            <w:vAlign w:val="top"/>
          </w:tcPr>
          <w:p>
            <w:pPr>
              <w:spacing w:beforeLines="0" w:afterLines="0" w:line="300" w:lineRule="exact"/>
              <w:ind w:firstLine="420" w:firstLineChars="200"/>
              <w:rPr>
                <w:szCs w:val="24"/>
              </w:rPr>
            </w:pPr>
            <w:r>
              <w:rPr>
                <w:szCs w:val="24"/>
              </w:rPr>
              <w:t>体育场馆用房施工</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B011204</w:t>
            </w:r>
          </w:p>
        </w:tc>
        <w:tc>
          <w:tcPr>
            <w:tcW w:w="3644" w:type="dxa"/>
            <w:tcBorders>
              <w:top w:val="single" w:color="auto" w:sz="4" w:space="0"/>
              <w:bottom w:val="single" w:color="auto" w:sz="4" w:space="0"/>
            </w:tcBorders>
            <w:vAlign w:val="top"/>
          </w:tcPr>
          <w:p>
            <w:pPr>
              <w:spacing w:beforeLines="0" w:afterLines="0" w:line="300" w:lineRule="exact"/>
              <w:ind w:firstLine="420" w:firstLineChars="200"/>
              <w:rPr>
                <w:szCs w:val="24"/>
              </w:rPr>
            </w:pPr>
            <w:r>
              <w:rPr>
                <w:szCs w:val="24"/>
              </w:rPr>
              <w:t>舞厅和音乐厅施工</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B011205</w:t>
            </w:r>
          </w:p>
        </w:tc>
        <w:tc>
          <w:tcPr>
            <w:tcW w:w="3644" w:type="dxa"/>
            <w:tcBorders>
              <w:top w:val="single" w:color="auto" w:sz="4" w:space="0"/>
              <w:bottom w:val="single" w:color="auto" w:sz="4" w:space="0"/>
            </w:tcBorders>
            <w:vAlign w:val="top"/>
          </w:tcPr>
          <w:p>
            <w:pPr>
              <w:spacing w:beforeLines="0" w:afterLines="0" w:line="300" w:lineRule="exact"/>
              <w:ind w:firstLine="420" w:firstLineChars="200"/>
              <w:rPr>
                <w:szCs w:val="24"/>
              </w:rPr>
            </w:pPr>
            <w:r>
              <w:rPr>
                <w:szCs w:val="24"/>
              </w:rPr>
              <w:t>文化宫和少年宫施工</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B011206</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老年活动中心施工</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B011299</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其他体育和娱乐用房施工</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B0113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市政公共设施用房施工</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B0114</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仓储用房施工</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B0115</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房屋附属设施施工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包括岗楼、围墙等的施工</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B0199</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其他建筑物施工</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构筑物施工</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B0201</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铁路工程施工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B0202</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公路工程施工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B0203</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机场跑道施工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B0204</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高速公路工程施工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B0205</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城市道路工程施工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B0206</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城市轨道交通工程施工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spacing w:beforeLines="0" w:afterLines="0" w:line="300" w:lineRule="exact"/>
              <w:rPr>
                <w:szCs w:val="24"/>
              </w:rPr>
            </w:pPr>
            <w:r>
              <w:rPr>
                <w:szCs w:val="24"/>
              </w:rPr>
              <w:t>B0207</w:t>
            </w:r>
          </w:p>
        </w:tc>
        <w:tc>
          <w:tcPr>
            <w:tcW w:w="3644" w:type="dxa"/>
            <w:tcBorders>
              <w:top w:val="single" w:color="auto" w:sz="4" w:space="0"/>
              <w:bottom w:val="single" w:color="auto" w:sz="4" w:space="0"/>
            </w:tcBorders>
            <w:vAlign w:val="center"/>
          </w:tcPr>
          <w:p>
            <w:pPr>
              <w:spacing w:beforeLines="0" w:afterLines="0" w:line="300" w:lineRule="exact"/>
              <w:rPr>
                <w:szCs w:val="24"/>
              </w:rPr>
            </w:pPr>
            <w:r>
              <w:rPr>
                <w:szCs w:val="24"/>
              </w:rPr>
              <w:t xml:space="preserve">  桥梁工程施工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B0208</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隧道工程施工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spacing w:beforeLines="0" w:afterLines="0" w:line="300" w:lineRule="exact"/>
              <w:rPr>
                <w:szCs w:val="24"/>
              </w:rPr>
            </w:pPr>
            <w:r>
              <w:rPr>
                <w:szCs w:val="24"/>
              </w:rPr>
              <w:t>B0209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水利工程施工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包括水利枢纽、堤坝、城市防洪、疏浚、滞蓄洪区、橡胶坝拦河、山洪防御、水库、引水河渠、灌溉排水、雨水利用、再生水利用等水利工程施工</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B0210</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水运工程施工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包括港口、海堤、航道等水运工程施工</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B0211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海洋工程施工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包括围海造地、防侵蚀、护岸护滩、海洋景观、滨海污水海洋处理、海洋平台、人工岛屿、人工鱼礁等海洋工程施工</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B0212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长距离管道、通信和电力线路（电    缆）铺设</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B0213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市内管道、电缆及其有关工程铺设</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B0215</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公共设施施工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B021501</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室外体育和娱乐设施工程施工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B021502</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园林绿化工程施工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B021599</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其他公共设施施工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B0216</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环保工程施工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B021601</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污水处理工程施工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B021602</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固定废物处理工程施工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B021603</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荒山绿化工程施工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B021604</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防沙工程施工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B021605</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江河湖泊治理工程施工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B021606</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人工湿地工程施工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B021607</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天然林保护工程施工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B021699</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其他环保工程施工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spacing w:beforeLines="0" w:afterLines="0" w:line="300" w:lineRule="exact"/>
              <w:rPr>
                <w:szCs w:val="24"/>
              </w:rPr>
            </w:pPr>
            <w:r>
              <w:rPr>
                <w:szCs w:val="24"/>
              </w:rPr>
              <w:t>B0217</w:t>
            </w:r>
          </w:p>
        </w:tc>
        <w:tc>
          <w:tcPr>
            <w:tcW w:w="3644" w:type="dxa"/>
            <w:tcBorders>
              <w:top w:val="single" w:color="auto" w:sz="4" w:space="0"/>
              <w:bottom w:val="single" w:color="auto" w:sz="4" w:space="0"/>
            </w:tcBorders>
            <w:vAlign w:val="center"/>
          </w:tcPr>
          <w:p>
            <w:pPr>
              <w:spacing w:beforeLines="0" w:afterLines="0" w:line="300" w:lineRule="exact"/>
              <w:rPr>
                <w:szCs w:val="24"/>
              </w:rPr>
            </w:pPr>
            <w:r>
              <w:rPr>
                <w:szCs w:val="24"/>
              </w:rPr>
              <w:t xml:space="preserve">  高耸构筑物施工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指烟囱、水塔、电视塔等构筑物施工。</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B0299</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其他构筑物工程施工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工程准备</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B0301</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工地平整和清理</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B0302</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土石方工程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spacing w:beforeLines="0" w:afterLines="0" w:line="300" w:lineRule="exact"/>
              <w:rPr>
                <w:szCs w:val="24"/>
              </w:rPr>
            </w:pPr>
            <w:r>
              <w:rPr>
                <w:szCs w:val="24"/>
              </w:rPr>
              <w:t>B0303</w:t>
            </w:r>
          </w:p>
        </w:tc>
        <w:tc>
          <w:tcPr>
            <w:tcW w:w="3644" w:type="dxa"/>
            <w:tcBorders>
              <w:top w:val="single" w:color="auto" w:sz="4" w:space="0"/>
              <w:bottom w:val="single" w:color="auto" w:sz="4" w:space="0"/>
            </w:tcBorders>
            <w:vAlign w:val="center"/>
          </w:tcPr>
          <w:p>
            <w:pPr>
              <w:spacing w:beforeLines="0" w:afterLines="0" w:line="300" w:lineRule="exact"/>
              <w:rPr>
                <w:szCs w:val="24"/>
              </w:rPr>
            </w:pPr>
            <w:r>
              <w:rPr>
                <w:szCs w:val="24"/>
              </w:rPr>
              <w:t xml:space="preserve">  拆除工程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包括房屋拆除、厂房和设备拆除、桥梁和轨道拆除、其他拆除服务</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B0304</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工程排水施工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B0399</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其他工程准备</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B04</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预制构件组装和装配</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B05</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专业施工</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B0501</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打桩、地基和基础工程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B0502</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建筑物构架工程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B0503</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屋顶构架工程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B0504</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防水工程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B0505</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防腐保温工程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B0506</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混凝土工程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B0507</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钢结构工程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B0508</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砖石工程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B0509</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脚手架工程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B0510</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消防工程和安防工程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B0511</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建筑幕墙工程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B0599</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其他专业施工</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建筑安装工程</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电子工程安装</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智能化安装工程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B060201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楼宇设备自控系统工程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B060202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保安监控和防盗报警系统工程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B060203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智能卡系统工程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B060204</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通信系统工程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B060205</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卫星和共用电视系统工程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B060206</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计算机网络系统工程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B060207</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广播系统工程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B060208</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火灾报警系统工程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B060299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其他智能化安装工程</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B0603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电力系统安装</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B0604</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供水管道工程和下水道铺设</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B0605</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供暖设备安装</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B0606</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通风和空调设备安装</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B0607</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燃气设备安装</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B0608</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大型设备安装</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B0699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其他安装</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spacing w:beforeLines="0" w:afterLines="0" w:line="300" w:lineRule="exact"/>
              <w:rPr>
                <w:szCs w:val="24"/>
              </w:rPr>
            </w:pPr>
            <w:r>
              <w:rPr>
                <w:szCs w:val="24"/>
              </w:rPr>
              <w:t>B07</w:t>
            </w:r>
          </w:p>
        </w:tc>
        <w:tc>
          <w:tcPr>
            <w:tcW w:w="3644" w:type="dxa"/>
            <w:tcBorders>
              <w:top w:val="single" w:color="auto" w:sz="4" w:space="0"/>
              <w:bottom w:val="single" w:color="auto" w:sz="4" w:space="0"/>
            </w:tcBorders>
            <w:vAlign w:val="center"/>
          </w:tcPr>
          <w:p>
            <w:pPr>
              <w:spacing w:beforeLines="0" w:afterLines="0" w:line="300" w:lineRule="exact"/>
              <w:rPr>
                <w:szCs w:val="24"/>
              </w:rPr>
            </w:pPr>
            <w:r>
              <w:rPr>
                <w:szCs w:val="24"/>
              </w:rPr>
              <w:t>装修工程</w:t>
            </w:r>
          </w:p>
        </w:tc>
        <w:tc>
          <w:tcPr>
            <w:tcW w:w="2161" w:type="dxa"/>
            <w:tcBorders>
              <w:top w:val="single" w:color="auto" w:sz="4" w:space="0"/>
              <w:bottom w:val="single" w:color="auto" w:sz="4" w:space="0"/>
            </w:tcBorders>
            <w:vAlign w:val="top"/>
          </w:tcPr>
          <w:p>
            <w:pPr>
              <w:spacing w:beforeLines="0" w:afterLines="0" w:line="300" w:lineRule="exact"/>
              <w:rPr>
                <w:szCs w:val="24"/>
              </w:rPr>
            </w:pPr>
            <w:r>
              <w:rPr>
                <w:szCs w:val="24"/>
              </w:rPr>
              <w:t>包括木工装修、砌筑装修、瓷砖装修、玻璃装配、抹灰装修、石制装修、门窗安装、涂料装修、其他装修</w:t>
            </w:r>
          </w:p>
        </w:tc>
        <w:tc>
          <w:tcPr>
            <w:tcW w:w="2417" w:type="dxa"/>
            <w:tcBorders>
              <w:top w:val="single" w:color="auto" w:sz="4" w:space="0"/>
              <w:bottom w:val="single" w:color="auto" w:sz="4" w:space="0"/>
              <w:right w:val="single" w:color="auto" w:sz="4" w:space="0"/>
            </w:tcBorders>
            <w:vAlign w:val="top"/>
          </w:tcPr>
          <w:p>
            <w:pPr>
              <w:spacing w:beforeLines="0" w:afterLines="0" w:line="300" w:lineRule="exact"/>
              <w:rPr>
                <w:b/>
                <w:strike/>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spacing w:beforeLines="0" w:afterLines="0" w:line="300" w:lineRule="exact"/>
              <w:rPr>
                <w:szCs w:val="24"/>
              </w:rPr>
            </w:pPr>
            <w:r>
              <w:rPr>
                <w:szCs w:val="24"/>
              </w:rPr>
              <w:t>B08</w:t>
            </w:r>
          </w:p>
        </w:tc>
        <w:tc>
          <w:tcPr>
            <w:tcW w:w="3644" w:type="dxa"/>
            <w:tcBorders>
              <w:top w:val="single" w:color="auto" w:sz="4" w:space="0"/>
              <w:bottom w:val="single" w:color="auto" w:sz="4" w:space="0"/>
            </w:tcBorders>
            <w:vAlign w:val="center"/>
          </w:tcPr>
          <w:p>
            <w:pPr>
              <w:spacing w:beforeLines="0" w:afterLines="0" w:line="300" w:lineRule="exact"/>
              <w:rPr>
                <w:szCs w:val="24"/>
              </w:rPr>
            </w:pPr>
            <w:r>
              <w:rPr>
                <w:szCs w:val="24"/>
              </w:rPr>
              <w:t>修缮工程</w:t>
            </w:r>
          </w:p>
        </w:tc>
        <w:tc>
          <w:tcPr>
            <w:tcW w:w="2161" w:type="dxa"/>
            <w:tcBorders>
              <w:top w:val="single" w:color="auto" w:sz="4" w:space="0"/>
              <w:bottom w:val="single" w:color="auto" w:sz="4" w:space="0"/>
            </w:tcBorders>
            <w:vAlign w:val="top"/>
          </w:tcPr>
          <w:p>
            <w:pPr>
              <w:spacing w:beforeLines="0" w:afterLines="0" w:line="300" w:lineRule="exact"/>
              <w:rPr>
                <w:szCs w:val="24"/>
              </w:rPr>
            </w:pPr>
            <w:r>
              <w:rPr>
                <w:szCs w:val="24"/>
              </w:rPr>
              <w:t>主要指对已建成的建筑物进行拆改、翻修和维护</w:t>
            </w:r>
          </w:p>
        </w:tc>
        <w:tc>
          <w:tcPr>
            <w:tcW w:w="2417" w:type="dxa"/>
            <w:tcBorders>
              <w:top w:val="single" w:color="auto" w:sz="4" w:space="0"/>
              <w:bottom w:val="single" w:color="auto" w:sz="4" w:space="0"/>
              <w:right w:val="single" w:color="auto" w:sz="4" w:space="0"/>
            </w:tcBorders>
            <w:vAlign w:val="top"/>
          </w:tcPr>
          <w:p>
            <w:pPr>
              <w:spacing w:beforeLines="0" w:afterLines="0" w:line="300" w:lineRule="exact"/>
              <w:rPr>
                <w:b/>
                <w:strike/>
                <w:color w:val="FF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B0801</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房屋修缮</w:t>
            </w:r>
          </w:p>
        </w:tc>
        <w:tc>
          <w:tcPr>
            <w:tcW w:w="2161" w:type="dxa"/>
            <w:tcBorders>
              <w:top w:val="single" w:color="auto" w:sz="4" w:space="0"/>
              <w:bottom w:val="single" w:color="auto" w:sz="4" w:space="0"/>
            </w:tcBorders>
            <w:vAlign w:val="center"/>
          </w:tcPr>
          <w:p>
            <w:pPr>
              <w:widowControl/>
              <w:spacing w:beforeLines="0" w:afterLines="0" w:line="300" w:lineRule="exact"/>
              <w:rPr>
                <w:b/>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B0803</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文物保护建筑修缮</w:t>
            </w:r>
          </w:p>
        </w:tc>
        <w:tc>
          <w:tcPr>
            <w:tcW w:w="2161" w:type="dxa"/>
            <w:tcBorders>
              <w:top w:val="single" w:color="auto" w:sz="4" w:space="0"/>
              <w:bottom w:val="single" w:color="auto" w:sz="4" w:space="0"/>
            </w:tcBorders>
            <w:vAlign w:val="center"/>
          </w:tcPr>
          <w:p>
            <w:pPr>
              <w:widowControl/>
              <w:spacing w:beforeLines="0" w:afterLines="0" w:line="300" w:lineRule="exact"/>
              <w:rPr>
                <w:b/>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top"/>
          </w:tcPr>
          <w:p>
            <w:pPr>
              <w:spacing w:beforeLines="0" w:afterLines="0" w:line="300" w:lineRule="exact"/>
              <w:rPr>
                <w:szCs w:val="24"/>
              </w:rPr>
            </w:pPr>
            <w:r>
              <w:rPr>
                <w:szCs w:val="24"/>
              </w:rPr>
              <w:t>B0899</w:t>
            </w:r>
          </w:p>
        </w:tc>
        <w:tc>
          <w:tcPr>
            <w:tcW w:w="3644" w:type="dxa"/>
            <w:tcBorders>
              <w:top w:val="single" w:color="auto" w:sz="4" w:space="0"/>
              <w:bottom w:val="single" w:color="auto" w:sz="4" w:space="0"/>
            </w:tcBorders>
            <w:vAlign w:val="top"/>
          </w:tcPr>
          <w:p>
            <w:pPr>
              <w:spacing w:beforeLines="0" w:afterLines="0" w:line="300" w:lineRule="exact"/>
              <w:rPr>
                <w:szCs w:val="24"/>
              </w:rPr>
            </w:pPr>
            <w:r>
              <w:rPr>
                <w:szCs w:val="24"/>
              </w:rPr>
              <w:t xml:space="preserve">  其他建筑物、构筑物修缮</w:t>
            </w:r>
          </w:p>
        </w:tc>
        <w:tc>
          <w:tcPr>
            <w:tcW w:w="2161" w:type="dxa"/>
            <w:tcBorders>
              <w:top w:val="single" w:color="auto" w:sz="4" w:space="0"/>
              <w:bottom w:val="single" w:color="auto" w:sz="4" w:space="0"/>
            </w:tcBorders>
            <w:vAlign w:val="center"/>
          </w:tcPr>
          <w:p>
            <w:pPr>
              <w:widowControl/>
              <w:spacing w:beforeLines="0" w:afterLines="0" w:line="300" w:lineRule="exact"/>
              <w:rPr>
                <w:b/>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B09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工程设备租赁（带操作员）</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B99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其他建筑工程</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jc w:val="center"/>
              <w:rPr>
                <w:bCs/>
                <w:kern w:val="0"/>
                <w:szCs w:val="21"/>
              </w:rPr>
            </w:pPr>
            <w:r>
              <w:rPr>
                <w:bCs/>
                <w:kern w:val="0"/>
                <w:szCs w:val="21"/>
              </w:rPr>
              <mc:AlternateContent>
                <mc:Choice Requires="wps">
                  <w:drawing>
                    <wp:anchor distT="0" distB="0" distL="114300" distR="114300" simplePos="0" relativeHeight="251664384" behindDoc="0" locked="0" layoutInCell="1" allowOverlap="1">
                      <wp:simplePos x="0" y="0"/>
                      <wp:positionH relativeFrom="column">
                        <wp:posOffset>-85090</wp:posOffset>
                      </wp:positionH>
                      <wp:positionV relativeFrom="paragraph">
                        <wp:posOffset>0</wp:posOffset>
                      </wp:positionV>
                      <wp:extent cx="6288405" cy="635"/>
                      <wp:effectExtent l="0" t="0" r="0" b="0"/>
                      <wp:wrapNone/>
                      <wp:docPr id="10" name="直接连接符 16"/>
                      <wp:cNvGraphicFramePr/>
                      <a:graphic xmlns:a="http://schemas.openxmlformats.org/drawingml/2006/main">
                        <a:graphicData uri="http://schemas.microsoft.com/office/word/2010/wordprocessingShape">
                          <wps:wsp>
                            <wps:cNvSpPr/>
                            <wps:spPr>
                              <a:xfrm>
                                <a:off x="0" y="0"/>
                                <a:ext cx="6288405" cy="635"/>
                              </a:xfrm>
                              <a:prstGeom prst="line">
                                <a:avLst/>
                              </a:prstGeom>
                              <a:ln w="9525" cap="flat" cmpd="sng">
                                <a:solidFill>
                                  <a:srgbClr val="000000"/>
                                </a:solidFill>
                                <a:prstDash val="solid"/>
                                <a:bevel/>
                                <a:headEnd type="none" w="med" len="med"/>
                                <a:tailEnd type="none" w="med" len="med"/>
                              </a:ln>
                            </wps:spPr>
                            <wps:bodyPr upright="1"/>
                          </wps:wsp>
                        </a:graphicData>
                      </a:graphic>
                    </wp:anchor>
                  </w:drawing>
                </mc:Choice>
                <mc:Fallback>
                  <w:pict>
                    <v:line id="直接连接符 16" o:spid="_x0000_s1026" o:spt="20" style="position:absolute;left:0pt;margin-left:-6.7pt;margin-top:0pt;height:0.05pt;width:495.15pt;z-index:251664384;mso-width-relative:page;mso-height-relative:page;" filled="f" stroked="t" coordsize="21600,21600" o:gfxdata="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aPUd1AAAAAUBAAAPAAAA&#10;AAAAAAEAIAAAACIAAABkcnMvZG93bnJldi54bWxQSwECFAAUAAAACACHTuJAHZVE3eABAACkAwAA&#10;DgAAAAAAAAABACAAAAAjAQAAZHJzL2Uyb0RvYy54bWxQSwUGAAAAAAYABgBZAQAAdQUAAAAA&#10;">
                      <v:path arrowok="t"/>
                      <v:fill on="f" focussize="0,0"/>
                      <v:stroke joinstyle="bevel"/>
                      <v:imagedata o:title=""/>
                      <o:lock v:ext="edit" grouping="f" rotation="f" text="f" aspectratio="f"/>
                    </v:line>
                  </w:pict>
                </mc:Fallback>
              </mc:AlternateContent>
            </w:r>
            <w:r>
              <w:rPr>
                <w:bCs/>
                <w:kern w:val="0"/>
                <w:szCs w:val="21"/>
              </w:rPr>
              <w:t>C</w:t>
            </w:r>
          </w:p>
        </w:tc>
        <w:tc>
          <w:tcPr>
            <w:tcW w:w="3644" w:type="dxa"/>
            <w:tcBorders>
              <w:top w:val="single" w:color="auto" w:sz="4" w:space="0"/>
              <w:bottom w:val="single" w:color="auto" w:sz="4" w:space="0"/>
            </w:tcBorders>
            <w:vAlign w:val="center"/>
          </w:tcPr>
          <w:p>
            <w:pPr>
              <w:widowControl/>
              <w:spacing w:beforeLines="0" w:afterLines="0" w:line="300" w:lineRule="exact"/>
              <w:jc w:val="center"/>
              <w:rPr>
                <w:bCs/>
                <w:kern w:val="0"/>
                <w:szCs w:val="21"/>
              </w:rPr>
            </w:pPr>
            <w:r>
              <w:rPr>
                <w:bCs/>
                <w:kern w:val="0"/>
                <w:szCs w:val="21"/>
              </w:rPr>
              <w:t>服务类</w:t>
            </w:r>
          </w:p>
        </w:tc>
        <w:tc>
          <w:tcPr>
            <w:tcW w:w="2161" w:type="dxa"/>
            <w:tcBorders>
              <w:top w:val="single" w:color="auto" w:sz="4" w:space="0"/>
              <w:bottom w:val="single" w:color="auto" w:sz="4" w:space="0"/>
            </w:tcBorders>
            <w:vAlign w:val="center"/>
          </w:tcPr>
          <w:p>
            <w:pPr>
              <w:widowControl/>
              <w:spacing w:beforeLines="0" w:afterLines="0" w:line="300" w:lineRule="exact"/>
              <w:rPr>
                <w:b/>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科学研究和试验开发</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C0101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科研课题研究服务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C0199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其他研究和试验开发服务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信息技术服务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C0201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软件开发服务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color w:val="FF0000"/>
                <w:kern w:val="0"/>
                <w:szCs w:val="21"/>
              </w:rPr>
              <w:t>C0201</w:t>
            </w:r>
            <w:r>
              <w:rPr>
                <w:rFonts w:hint="eastAsia"/>
                <w:color w:val="FF0000"/>
                <w:kern w:val="0"/>
                <w:szCs w:val="21"/>
              </w:rPr>
              <w:t>01</w:t>
            </w:r>
          </w:p>
        </w:tc>
        <w:tc>
          <w:tcPr>
            <w:tcW w:w="3644"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 xml:space="preserve">    教育信息化工程辅助学习资源开发服务</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定制开发的教育信息化工程辅助学习资源</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高中（含）以下学校。全省教育系统所属学校由省教育厅实行部门集中采购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color w:val="FF0000"/>
                <w:kern w:val="0"/>
                <w:szCs w:val="21"/>
              </w:rPr>
              <w:t>C0201</w:t>
            </w:r>
            <w:r>
              <w:rPr>
                <w:rFonts w:hint="eastAsia"/>
                <w:color w:val="FF0000"/>
                <w:kern w:val="0"/>
                <w:szCs w:val="21"/>
              </w:rPr>
              <w:t>02</w:t>
            </w:r>
          </w:p>
        </w:tc>
        <w:tc>
          <w:tcPr>
            <w:tcW w:w="3644"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 xml:space="preserve">    教育教学软件开发服务</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定制开发的教育教学软件</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高中（含）以下学校。全省教育系统所属学校由省教育厅实行部门集中采购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FF0000"/>
                <w:kern w:val="0"/>
                <w:szCs w:val="21"/>
              </w:rPr>
            </w:pPr>
            <w:r>
              <w:rPr>
                <w:color w:val="FF0000"/>
                <w:kern w:val="0"/>
                <w:szCs w:val="21"/>
              </w:rPr>
              <w:t>C0201</w:t>
            </w:r>
            <w:r>
              <w:rPr>
                <w:rFonts w:hint="eastAsia"/>
                <w:color w:val="FF0000"/>
                <w:kern w:val="0"/>
                <w:szCs w:val="21"/>
              </w:rPr>
              <w:t>99</w:t>
            </w:r>
          </w:p>
        </w:tc>
        <w:tc>
          <w:tcPr>
            <w:tcW w:w="3644"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 xml:space="preserve">    其他软件开发服务</w:t>
            </w:r>
          </w:p>
        </w:tc>
        <w:tc>
          <w:tcPr>
            <w:tcW w:w="2161" w:type="dxa"/>
            <w:tcBorders>
              <w:top w:val="single" w:color="auto" w:sz="4" w:space="0"/>
              <w:bottom w:val="single" w:color="auto" w:sz="4" w:space="0"/>
            </w:tcBorders>
            <w:vAlign w:val="center"/>
          </w:tcPr>
          <w:p>
            <w:pPr>
              <w:widowControl/>
              <w:spacing w:beforeLines="0" w:afterLines="0" w:line="300" w:lineRule="exact"/>
              <w:rPr>
                <w:color w:val="FF0000"/>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FF0000"/>
                <w:kern w:val="0"/>
                <w:szCs w:val="21"/>
              </w:rPr>
            </w:pPr>
            <w:r>
              <w:rPr>
                <w:rFonts w:hint="eastAsia"/>
                <w:color w:val="FF0000"/>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C0202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信息系统集成实施服务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rFonts w:hint="eastAsia"/>
                <w:kern w:val="0"/>
                <w:szCs w:val="21"/>
              </w:rPr>
              <w:t xml:space="preserve"> </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C0203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数据处理服务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C0204</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信息化工程监理服务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mc:AlternateContent>
                <mc:Choice Requires="wps">
                  <w:drawing>
                    <wp:anchor distT="0" distB="0" distL="114300" distR="114300" simplePos="0" relativeHeight="251667456" behindDoc="0" locked="0" layoutInCell="1" allowOverlap="1">
                      <wp:simplePos x="0" y="0"/>
                      <wp:positionH relativeFrom="column">
                        <wp:posOffset>34290</wp:posOffset>
                      </wp:positionH>
                      <wp:positionV relativeFrom="paragraph">
                        <wp:posOffset>0</wp:posOffset>
                      </wp:positionV>
                      <wp:extent cx="6289040" cy="635"/>
                      <wp:effectExtent l="0" t="0" r="0" b="0"/>
                      <wp:wrapNone/>
                      <wp:docPr id="11" name="直接连接符 14"/>
                      <wp:cNvGraphicFramePr/>
                      <a:graphic xmlns:a="http://schemas.openxmlformats.org/drawingml/2006/main">
                        <a:graphicData uri="http://schemas.microsoft.com/office/word/2010/wordprocessingShape">
                          <wps:wsp>
                            <wps:cNvSpPr/>
                            <wps:spPr>
                              <a:xfrm>
                                <a:off x="0" y="0"/>
                                <a:ext cx="6289040" cy="635"/>
                              </a:xfrm>
                              <a:prstGeom prst="line">
                                <a:avLst/>
                              </a:prstGeom>
                              <a:ln w="9525" cap="flat" cmpd="sng">
                                <a:solidFill>
                                  <a:srgbClr val="000000"/>
                                </a:solidFill>
                                <a:prstDash val="solid"/>
                                <a:bevel/>
                                <a:headEnd type="none" w="med" len="med"/>
                                <a:tailEnd type="none" w="med" len="med"/>
                              </a:ln>
                            </wps:spPr>
                            <wps:bodyPr upright="1"/>
                          </wps:wsp>
                        </a:graphicData>
                      </a:graphic>
                    </wp:anchor>
                  </w:drawing>
                </mc:Choice>
                <mc:Fallback>
                  <w:pict>
                    <v:line id="直接连接符 14" o:spid="_x0000_s1026" o:spt="20" style="position:absolute;left:0pt;margin-left:2.7pt;margin-top:0pt;height:0.05pt;width:495.2pt;z-index:251667456;mso-width-relative:page;mso-height-relative:page;" filled="f" stroked="t" coordsize="21600,21600" o:gfxdata="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YMDC0gAAAAMBAAAPAAAA&#10;AAAAAAEAIAAAACIAAABkcnMvZG93bnJldi54bWxQSwECFAAUAAAACACHTuJAgXqBoeIBAACkAwAA&#10;DgAAAAAAAAABACAAAAAhAQAAZHJzL2Uyb0RvYy54bWxQSwUGAAAAAAYABgBZAQAAdQUAAAAA&#10;">
                      <v:path arrowok="t"/>
                      <v:fill on="f" focussize="0,0"/>
                      <v:stroke joinstyle="bevel"/>
                      <v:imagedata o:title=""/>
                      <o:lock v:ext="edit" grouping="f" rotation="f" text="f" aspectratio="f"/>
                    </v:line>
                  </w:pict>
                </mc:Fallback>
              </mc:AlternateContent>
            </w:r>
            <w:r>
              <w:rPr>
                <w:kern w:val="0"/>
                <w:szCs w:val="21"/>
              </w:rPr>
              <w:t>C0205</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测试评估认证服务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C0206</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运行维护服务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C0207</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运营服务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C0208</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信息技术咨询服务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C0209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呼叫中心服务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C0299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其他信息技术服务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电信和其他信息传输服务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C0301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电信服务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电信线路租用</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C0302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互联网信息服务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C0303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卫星传输服务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mc:AlternateContent>
                <mc:Choice Requires="wps">
                  <w:drawing>
                    <wp:anchor distT="0" distB="0" distL="114300" distR="114300" simplePos="0" relativeHeight="251669504" behindDoc="0" locked="0" layoutInCell="1" allowOverlap="1">
                      <wp:simplePos x="0" y="0"/>
                      <wp:positionH relativeFrom="column">
                        <wp:posOffset>-77470</wp:posOffset>
                      </wp:positionH>
                      <wp:positionV relativeFrom="paragraph">
                        <wp:posOffset>-1905</wp:posOffset>
                      </wp:positionV>
                      <wp:extent cx="6304915" cy="1270"/>
                      <wp:effectExtent l="0" t="0" r="0" b="0"/>
                      <wp:wrapNone/>
                      <wp:docPr id="12" name="直接连接符 13"/>
                      <wp:cNvGraphicFramePr/>
                      <a:graphic xmlns:a="http://schemas.openxmlformats.org/drawingml/2006/main">
                        <a:graphicData uri="http://schemas.microsoft.com/office/word/2010/wordprocessingShape">
                          <wps:wsp>
                            <wps:cNvSpPr/>
                            <wps:spPr>
                              <a:xfrm>
                                <a:off x="0" y="0"/>
                                <a:ext cx="6304915" cy="1270"/>
                              </a:xfrm>
                              <a:prstGeom prst="line">
                                <a:avLst/>
                              </a:prstGeom>
                              <a:ln w="9525" cap="flat" cmpd="sng">
                                <a:solidFill>
                                  <a:srgbClr val="000000"/>
                                </a:solidFill>
                                <a:prstDash val="solid"/>
                                <a:bevel/>
                                <a:headEnd type="none" w="med" len="med"/>
                                <a:tailEnd type="none" w="med" len="med"/>
                              </a:ln>
                            </wps:spPr>
                            <wps:bodyPr upright="1"/>
                          </wps:wsp>
                        </a:graphicData>
                      </a:graphic>
                    </wp:anchor>
                  </w:drawing>
                </mc:Choice>
                <mc:Fallback>
                  <w:pict>
                    <v:line id="直接连接符 13" o:spid="_x0000_s1026" o:spt="20" style="position:absolute;left:0pt;margin-left:-6.1pt;margin-top:-0.15pt;height:0.1pt;width:496.45pt;z-index:251669504;mso-width-relative:page;mso-height-relative:page;" filled="f" stroked="t" coordsize="21600,21600" o:gfxdata="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Fk00tQAAAAHAQAA&#10;DwAAAAAAAAABACAAAAAiAAAAZHJzL2Rvd25yZXYueG1sUEsBAhQAFAAAAAgAh07iQPjESf7kAQAA&#10;pQMAAA4AAAAAAAAAAQAgAAAAIwEAAGRycy9lMm9Eb2MueG1sUEsFBgAAAAAGAAYAWQEAAHkFAAAA&#10;AA==&#10;">
                      <v:path arrowok="t"/>
                      <v:fill on="f" focussize="0,0"/>
                      <v:stroke joinstyle="bevel"/>
                      <v:imagedata o:title=""/>
                      <o:lock v:ext="edit" grouping="f" rotation="f" text="f" aspectratio="f"/>
                    </v:line>
                  </w:pict>
                </mc:Fallback>
              </mc:AlternateContent>
            </w:r>
            <w:r>
              <w:rPr>
                <w:kern w:val="0"/>
                <w:szCs w:val="21"/>
              </w:rPr>
              <w:t>C0399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其他电信和信息传输服务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-4445</wp:posOffset>
                      </wp:positionV>
                      <wp:extent cx="2973070" cy="1270"/>
                      <wp:effectExtent l="0" t="0" r="0" b="0"/>
                      <wp:wrapNone/>
                      <wp:docPr id="13" name="直接连接符 12"/>
                      <wp:cNvGraphicFramePr/>
                      <a:graphic xmlns:a="http://schemas.openxmlformats.org/drawingml/2006/main">
                        <a:graphicData uri="http://schemas.microsoft.com/office/word/2010/wordprocessingShape">
                          <wps:wsp>
                            <wps:cNvSpPr/>
                            <wps:spPr>
                              <a:xfrm>
                                <a:off x="0" y="0"/>
                                <a:ext cx="2973070" cy="1270"/>
                              </a:xfrm>
                              <a:prstGeom prst="line">
                                <a:avLst/>
                              </a:prstGeom>
                              <a:ln w="9525" cap="flat" cmpd="sng">
                                <a:solidFill>
                                  <a:srgbClr val="000000"/>
                                </a:solidFill>
                                <a:prstDash val="solid"/>
                                <a:bevel/>
                                <a:headEnd type="none" w="med" len="med"/>
                                <a:tailEnd type="none" w="med" len="med"/>
                              </a:ln>
                            </wps:spPr>
                            <wps:bodyPr upright="1"/>
                          </wps:wsp>
                        </a:graphicData>
                      </a:graphic>
                    </wp:anchor>
                  </w:drawing>
                </mc:Choice>
                <mc:Fallback>
                  <w:pict>
                    <v:line id="直接连接符 12" o:spid="_x0000_s1026" o:spt="20" style="position:absolute;left:0pt;margin-left:0pt;margin-top:-0.35pt;height:0.1pt;width:234.1pt;z-index:251668480;mso-width-relative:page;mso-height-relative:page;" filled="f" stroked="t" coordsize="21600,21600" o:gfxdata="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RudNT0wAAAAQBAAAPAAAA&#10;AAAAAAEAIAAAACIAAABkcnMvZG93bnJldi54bWxQSwECFAAUAAAACACHTuJAL/5fu+EBAAClAwAA&#10;DgAAAAAAAAABACAAAAAiAQAAZHJzL2Uyb0RvYy54bWxQSwUGAAAAAAYABgBZAQAAdQUAAAAA&#10;">
                      <v:path arrowok="t"/>
                      <v:fill on="f" focussize="0,0"/>
                      <v:stroke joinstyle="bevel"/>
                      <v:imagedata o:title=""/>
                      <o:lock v:ext="edit" grouping="f" rotation="f" text="f" aspectratio="f"/>
                    </v:line>
                  </w:pict>
                </mc:Fallback>
              </mc:AlternateConten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C04</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租赁服务（不带操作员）</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C0401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计算机设备和软件租赁服务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含云计算服务</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政府集中采购（定点采购）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C0402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办公设备租赁服务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C0403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车辆及其他运输机械租赁服务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含公务用车租赁</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政府集中采购（定点采购）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C0404</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农业和林业机械设备租赁服务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C0405</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医疗设备租赁服务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C0406</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图书和音像制品租赁服务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C0407</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家具、用具和装具租赁服务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C0499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其他租赁服务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C05</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维修和保养服务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C0501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计算机设备维修和保养服务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C0502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办公设备维修和保养服务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C0503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车辆维修和保养服务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C050301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车辆维修和保养服务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政府集中采购（定点采购）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C050302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车辆加油服务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政府集中采购（定点采购）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C050399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其他车辆维修和保养服务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政府集中采购（定点采购）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C0504</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农业和林业机械设备维修和保养服务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C0505</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医疗设备维修和保养服务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C0506</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家具维修和保养服务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C0507</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空调、电梯维修和保养服务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C0599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其他维修和保养服务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C06</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会议和展览服务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C0601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会议服务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C060101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大型会议服务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mc:AlternateContent>
                <mc:Choice Requires="wps">
                  <w:drawing>
                    <wp:anchor distT="0" distB="0" distL="114300" distR="114300" simplePos="0" relativeHeight="251665408" behindDoc="0" locked="0" layoutInCell="1" allowOverlap="1">
                      <wp:simplePos x="0" y="0"/>
                      <wp:positionH relativeFrom="column">
                        <wp:posOffset>-69215</wp:posOffset>
                      </wp:positionH>
                      <wp:positionV relativeFrom="paragraph">
                        <wp:posOffset>0</wp:posOffset>
                      </wp:positionV>
                      <wp:extent cx="6296660" cy="635"/>
                      <wp:effectExtent l="0" t="0" r="0" b="0"/>
                      <wp:wrapNone/>
                      <wp:docPr id="14" name="直接连接符 11"/>
                      <wp:cNvGraphicFramePr/>
                      <a:graphic xmlns:a="http://schemas.openxmlformats.org/drawingml/2006/main">
                        <a:graphicData uri="http://schemas.microsoft.com/office/word/2010/wordprocessingShape">
                          <wps:wsp>
                            <wps:cNvSpPr/>
                            <wps:spPr>
                              <a:xfrm>
                                <a:off x="0" y="0"/>
                                <a:ext cx="6296660" cy="635"/>
                              </a:xfrm>
                              <a:prstGeom prst="line">
                                <a:avLst/>
                              </a:prstGeom>
                              <a:ln w="9525" cap="flat" cmpd="sng">
                                <a:solidFill>
                                  <a:srgbClr val="000000"/>
                                </a:solidFill>
                                <a:prstDash val="solid"/>
                                <a:bevel/>
                                <a:headEnd type="none" w="med" len="med"/>
                                <a:tailEnd type="none" w="med" len="med"/>
                              </a:ln>
                            </wps:spPr>
                            <wps:bodyPr upright="1"/>
                          </wps:wsp>
                        </a:graphicData>
                      </a:graphic>
                    </wp:anchor>
                  </w:drawing>
                </mc:Choice>
                <mc:Fallback>
                  <w:pict>
                    <v:line id="直接连接符 11" o:spid="_x0000_s1026" o:spt="20" style="position:absolute;left:0pt;margin-left:-5.45pt;margin-top:0pt;height:0.05pt;width:495.8pt;z-index:251665408;mso-width-relative:page;mso-height-relative:page;" filled="f" stroked="t" coordsize="21600,21600" o:gfxdata="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PVOT0wAAAAUBAAAPAAAA&#10;AAAAAAEAIAAAACIAAABkcnMvZG93bnJldi54bWxQSwECFAAUAAAACACHTuJA/gNWpeEBAACkAwAA&#10;DgAAAAAAAAABACAAAAAiAQAAZHJzL2Uyb0RvYy54bWxQSwUGAAAAAAYABgBZAQAAdQUAAAAA&#10;">
                      <v:path arrowok="t"/>
                      <v:fill on="f" focussize="0,0"/>
                      <v:stroke joinstyle="bevel"/>
                      <v:imagedata o:title=""/>
                      <o:lock v:ext="edit" grouping="f" rotation="f" text="f" aspectratio="f"/>
                    </v:line>
                  </w:pict>
                </mc:Fallback>
              </mc:AlternateContent>
            </w:r>
            <w:r>
              <w:rPr>
                <w:kern w:val="0"/>
                <w:szCs w:val="21"/>
              </w:rPr>
              <w:t>C060102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一般会议服务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政府集中采购（定点采购）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C0602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展览服务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C07</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住宿和餐饮服务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商务服务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法律服务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会计服务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jc w:val="center"/>
              <w:rPr>
                <w:kern w:val="0"/>
                <w:szCs w:val="21"/>
              </w:rPr>
            </w:pPr>
            <w:r>
              <w:rPr>
                <w:rFonts w:hint="eastAsia"/>
                <w:kern w:val="0"/>
                <w:szCs w:val="21"/>
                <w:lang w:val="en-US" w:eastAsia="zh-CN"/>
              </w:rPr>
              <w:t>仅限省级</w:t>
            </w:r>
            <w:r>
              <w:rPr>
                <w:kern w:val="0"/>
                <w:szCs w:val="21"/>
              </w:rPr>
              <w:t>政府集中采</w:t>
            </w:r>
            <w:r>
              <w:rPr>
                <w:rFonts w:hint="eastAsia"/>
                <w:kern w:val="0"/>
                <w:szCs w:val="21"/>
                <w:lang w:val="en-US" w:eastAsia="zh-CN"/>
              </w:rPr>
              <w:t>购</w:t>
            </w:r>
            <w:r>
              <w:rPr>
                <w:kern w:val="0"/>
                <w:szCs w:val="21"/>
              </w:rPr>
              <w:t>（定点采购）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C0803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审计服务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jc w:val="center"/>
              <w:rPr>
                <w:kern w:val="0"/>
                <w:szCs w:val="21"/>
              </w:rPr>
            </w:pPr>
            <w:r>
              <w:rPr>
                <w:rFonts w:hint="eastAsia"/>
                <w:kern w:val="0"/>
                <w:szCs w:val="21"/>
                <w:lang w:val="en-US" w:eastAsia="zh-CN"/>
              </w:rPr>
              <w:t>仅限省级</w:t>
            </w:r>
            <w:r>
              <w:rPr>
                <w:kern w:val="0"/>
                <w:szCs w:val="21"/>
              </w:rPr>
              <w:t>政府集中采购（定点采购）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C0804</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税务服务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C0805</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资产及其他评估服务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jc w:val="center"/>
              <w:rPr>
                <w:kern w:val="0"/>
                <w:szCs w:val="21"/>
              </w:rPr>
            </w:pPr>
            <w:r>
              <w:rPr>
                <w:rFonts w:hint="eastAsia"/>
                <w:kern w:val="0"/>
                <w:szCs w:val="21"/>
                <w:lang w:val="en-US" w:eastAsia="zh-CN"/>
              </w:rPr>
              <w:t>仅限省级</w:t>
            </w:r>
            <w:r>
              <w:rPr>
                <w:kern w:val="0"/>
                <w:szCs w:val="21"/>
              </w:rPr>
              <w:t>政府集中采购（定点采购）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C0806</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广告服务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C0807</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市场调查和民意测验服务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C0808</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社会与管理咨询服务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包括政策和战略的总体规划咨询服务、其他社会与管理咨询服务。不包括信息技术咨询服务、法律咨询服务、工程咨询服务等专项咨询服务。</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C0809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职业中介服务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C0810</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安全服务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指为社会提供专业化的安全防范服务，包括：保安服务、特种保安服务：现钞押运，金库守护，贵重物品保安，易爆、易燃、易腐等危险品保护及其他特种保安的服务；道路交通协管服务：交通秩序、车辆停放协管服务；社会治安协管服务；其他安全保护服务：专业开锁服务、私人调查服务、监视器管理服务、安全咨询服务、其他安全保护服务。</w:t>
            </w:r>
          </w:p>
          <w:p>
            <w:pPr>
              <w:widowControl/>
              <w:spacing w:beforeLines="0" w:afterLines="0" w:line="300" w:lineRule="exact"/>
              <w:rPr>
                <w:kern w:val="0"/>
                <w:szCs w:val="21"/>
              </w:rPr>
            </w:pPr>
            <w:r>
              <w:rPr>
                <w:kern w:val="0"/>
                <w:szCs w:val="21"/>
              </w:rPr>
              <w:t>不含采购单位的保安传达等日常秩序管理服务</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C0811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建筑物清洁服务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C0812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摄影服务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C0813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包装服务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C0814</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印刷和出版服务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C081401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印刷服务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jc w:val="center"/>
              <w:rPr>
                <w:kern w:val="0"/>
                <w:szCs w:val="21"/>
              </w:rPr>
            </w:pPr>
            <w:r>
              <w:rPr>
                <w:rFonts w:hint="eastAsia"/>
                <w:kern w:val="0"/>
                <w:szCs w:val="21"/>
                <w:lang w:val="en-US" w:eastAsia="zh-CN"/>
              </w:rPr>
              <w:t>仅限省级</w:t>
            </w:r>
            <w:r>
              <w:rPr>
                <w:kern w:val="0"/>
                <w:szCs w:val="21"/>
              </w:rPr>
              <w:t>政府集中采购（定点采购）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C081402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出版服务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C0815</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翻译服务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C0816</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票务代理服务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C0817</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采购代理服务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C0818</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旅游服务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C0819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邮政与速递服务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C0820</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绩效评价服务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jc w:val="center"/>
              <w:rPr>
                <w:kern w:val="0"/>
                <w:szCs w:val="21"/>
              </w:rPr>
            </w:pPr>
            <w:r>
              <w:rPr>
                <w:rFonts w:hint="eastAsia"/>
                <w:kern w:val="0"/>
                <w:szCs w:val="21"/>
                <w:lang w:val="en-US" w:eastAsia="zh-CN"/>
              </w:rPr>
              <w:t>仅限省级</w:t>
            </w:r>
            <w:r>
              <w:rPr>
                <w:kern w:val="0"/>
                <w:szCs w:val="21"/>
              </w:rPr>
              <w:t>政府集中采购（定点采购）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C0899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其他商务服务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专业技术服务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C0901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技术测试和分析服务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C0902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地震服务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C0903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气象服务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C0904</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测绘服务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C0905</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海洋服务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C0906</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地质勘测服务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C0907</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合同能源管理服务</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节能服务公司与用能单位以契约形式约定节能目标，节能服务公司提供必要的服务，用能单位以节能效益支付节能服务公司投入</w:t>
            </w:r>
            <w:r>
              <w:rPr>
                <w:bCs/>
                <w:kern w:val="0"/>
                <w:szCs w:val="21"/>
              </w:rPr>
              <mc:AlternateContent>
                <mc:Choice Requires="wps">
                  <w:drawing>
                    <wp:anchor distT="0" distB="0" distL="114300" distR="114300" simplePos="0" relativeHeight="251666432" behindDoc="0" locked="0" layoutInCell="1" allowOverlap="1">
                      <wp:simplePos x="0" y="0"/>
                      <wp:positionH relativeFrom="column">
                        <wp:posOffset>-3399790</wp:posOffset>
                      </wp:positionH>
                      <wp:positionV relativeFrom="paragraph">
                        <wp:posOffset>0</wp:posOffset>
                      </wp:positionV>
                      <wp:extent cx="6304280" cy="635"/>
                      <wp:effectExtent l="0" t="0" r="0" b="0"/>
                      <wp:wrapNone/>
                      <wp:docPr id="15" name="直接连接符 4"/>
                      <wp:cNvGraphicFramePr/>
                      <a:graphic xmlns:a="http://schemas.openxmlformats.org/drawingml/2006/main">
                        <a:graphicData uri="http://schemas.microsoft.com/office/word/2010/wordprocessingShape">
                          <wps:wsp>
                            <wps:cNvSpPr/>
                            <wps:spPr>
                              <a:xfrm>
                                <a:off x="0" y="0"/>
                                <a:ext cx="6304280" cy="635"/>
                              </a:xfrm>
                              <a:prstGeom prst="line">
                                <a:avLst/>
                              </a:prstGeom>
                              <a:ln w="9525" cap="flat" cmpd="sng">
                                <a:solidFill>
                                  <a:srgbClr val="000000"/>
                                </a:solidFill>
                                <a:prstDash val="solid"/>
                                <a:bevel/>
                                <a:headEnd type="none" w="med" len="med"/>
                                <a:tailEnd type="none" w="med" len="med"/>
                              </a:ln>
                            </wps:spPr>
                            <wps:bodyPr upright="1"/>
                          </wps:wsp>
                        </a:graphicData>
                      </a:graphic>
                    </wp:anchor>
                  </w:drawing>
                </mc:Choice>
                <mc:Fallback>
                  <w:pict>
                    <v:line id="直接连接符 4" o:spid="_x0000_s1026" o:spt="20" style="position:absolute;left:0pt;margin-left:-267.7pt;margin-top:0pt;height:0.05pt;width:496.4pt;z-index:251666432;mso-width-relative:page;mso-height-relative:page;" filled="f" stroked="t" coordsize="21600,21600" o:gfxdata="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mHjV70wAAAAYBAAAPAAAA&#10;AAAAAAEAIAAAACIAAABkcnMvZG93bnJldi54bWxQSwECFAAUAAAACACHTuJATGVv4+EBAACjAwAA&#10;DgAAAAAAAAABACAAAAAiAQAAZHJzL2Uyb0RvYy54bWxQSwUGAAAAAAYABgBZAQAAdQUAAAAA&#10;">
                      <v:path arrowok="t"/>
                      <v:fill on="f" focussize="0,0"/>
                      <v:stroke joinstyle="bevel"/>
                      <v:imagedata o:title=""/>
                      <o:lock v:ext="edit" grouping="f" rotation="f" text="f" aspectratio="f"/>
                    </v:line>
                  </w:pict>
                </mc:Fallback>
              </mc:AlternateContent>
            </w:r>
            <w:r>
              <w:rPr>
                <w:bCs/>
                <w:kern w:val="0"/>
                <w:szCs w:val="21"/>
              </w:rPr>
              <w:t>及其合理利润</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C0908</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其他专业技术服务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包括地震、气象、海洋等其他专业技术服务</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C10</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工程咨询管理服务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C1001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工程咨询服务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包括工程设计前咨询、造价咨询和政策咨询等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C1002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工程勘探服务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C1003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工程设计服务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C1004</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装修设计服务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C1005</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工程项目管理服务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C1006</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工程监理服务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C1007</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工程总承包服务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C1099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其他工程咨询管理服务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水利管理服务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房地产服务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C1202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房屋租赁服务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4" w:hRule="atLeast"/>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C1204</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物业管理服务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指本单位物业管理服务部门不能承担的，用于办公场所或其他公用场所水电供应、设备运行、建筑物门窗保养维护、保洁、保安、绿化养护等的管理及服务。</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jc w:val="center"/>
              <w:rPr>
                <w:kern w:val="0"/>
                <w:szCs w:val="21"/>
              </w:rPr>
            </w:pPr>
            <w:r>
              <w:rPr>
                <w:rFonts w:hint="eastAsia"/>
                <w:kern w:val="0"/>
                <w:szCs w:val="21"/>
                <w:lang w:val="en-US" w:eastAsia="zh-CN"/>
              </w:rPr>
              <w:t>仅限省级</w:t>
            </w:r>
            <w:r>
              <w:rPr>
                <w:kern w:val="0"/>
                <w:szCs w:val="21"/>
              </w:rPr>
              <w:t>政府集中采购（定点采购）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C1299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其他房地产服务</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公共设施管理服务</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包括城市规划和设计、市政公共设施管理、园林绿化管理、城市市容管理和游览景区服务等</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C15</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金融服务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C1501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银行服务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C150101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银行代理服务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C150102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其他银行服务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C1504</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保险服务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C150401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人寿保险服务</w:t>
            </w:r>
          </w:p>
        </w:tc>
        <w:tc>
          <w:tcPr>
            <w:tcW w:w="2161" w:type="dxa"/>
            <w:tcBorders>
              <w:top w:val="single" w:color="auto" w:sz="4" w:space="0"/>
              <w:bottom w:val="single" w:color="auto" w:sz="4" w:space="0"/>
            </w:tcBorders>
            <w:vAlign w:val="center"/>
          </w:tcPr>
          <w:p>
            <w:pPr>
              <w:widowControl/>
              <w:spacing w:beforeLines="0" w:afterLines="0" w:line="300" w:lineRule="exact"/>
              <w:rPr>
                <w:rFonts w:hint="eastAsia" w:eastAsia="宋体"/>
                <w:kern w:val="0"/>
                <w:szCs w:val="21"/>
                <w:lang w:val="en-US" w:eastAsia="zh-CN"/>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rFonts w:hint="eastAsia" w:eastAsia="宋体"/>
                <w:kern w:val="0"/>
                <w:szCs w:val="21"/>
                <w:lang w:val="en-US" w:eastAsia="zh-CN"/>
              </w:rPr>
            </w:pPr>
            <w:r>
              <w:rPr>
                <w:rFonts w:hint="eastAsia"/>
                <w:kern w:val="0"/>
                <w:szCs w:val="21"/>
                <w:lang w:val="en-US" w:eastAsia="zh-CN"/>
              </w:rPr>
              <w:t>政府集中采购（限城乡居民大病保险）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C150402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财产保险服务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C15040201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机动车保险服务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r>
              <w:rPr>
                <w:kern w:val="0"/>
                <w:szCs w:val="21"/>
              </w:rPr>
              <w:t>政府集中采购（定点采购）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C15040202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运输保险服务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C15040299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其他财产保险服务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C150403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再保险服务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C150499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其他保险服务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C1599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其他金融服务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szCs w:val="21"/>
              </w:rPr>
            </w:pPr>
            <w:r>
              <w:rPr>
                <w:kern w:val="0"/>
                <w:szCs w:val="21"/>
              </w:rPr>
              <w:t>C16</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环境服务</w:t>
            </w:r>
          </w:p>
        </w:tc>
        <w:tc>
          <w:tcPr>
            <w:tcW w:w="2161" w:type="dxa"/>
            <w:tcBorders>
              <w:top w:val="single" w:color="auto" w:sz="4" w:space="0"/>
              <w:bottom w:val="single" w:color="auto" w:sz="4" w:space="0"/>
            </w:tcBorders>
            <w:vAlign w:val="center"/>
          </w:tcPr>
          <w:p>
            <w:pPr>
              <w:widowControl/>
              <w:spacing w:beforeLines="0" w:afterLines="0" w:line="300" w:lineRule="exact"/>
              <w:rPr>
                <w:bCs/>
                <w:kern w:val="0"/>
                <w:szCs w:val="21"/>
              </w:rPr>
            </w:pPr>
            <w:r>
              <w:rPr>
                <w:bCs/>
                <w:kern w:val="0"/>
                <w:szCs w:val="21"/>
              </w:rPr>
              <w:t>包括城镇公共卫生服务，水、空气、噪音污染治理服务，危险废物和其他无害固体废物处理服务</w:t>
            </w: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C17</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交通运输和仓储服务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C18</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教育服务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C1806</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培训服务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auto"/>
                <w:kern w:val="0"/>
                <w:szCs w:val="21"/>
              </w:rPr>
            </w:pPr>
            <w:r>
              <w:rPr>
                <w:color w:val="auto"/>
                <w:kern w:val="0"/>
                <w:szCs w:val="21"/>
              </w:rPr>
              <w:t>C180601</w:t>
            </w:r>
          </w:p>
        </w:tc>
        <w:tc>
          <w:tcPr>
            <w:tcW w:w="3644" w:type="dxa"/>
            <w:tcBorders>
              <w:top w:val="single" w:color="auto" w:sz="4" w:space="0"/>
              <w:bottom w:val="single" w:color="auto" w:sz="4" w:space="0"/>
            </w:tcBorders>
            <w:vAlign w:val="center"/>
          </w:tcPr>
          <w:p>
            <w:pPr>
              <w:widowControl/>
              <w:spacing w:beforeLines="0" w:afterLines="0" w:line="300" w:lineRule="exact"/>
              <w:rPr>
                <w:color w:val="auto"/>
                <w:kern w:val="0"/>
                <w:szCs w:val="21"/>
              </w:rPr>
            </w:pPr>
            <w:r>
              <w:rPr>
                <w:color w:val="auto"/>
                <w:kern w:val="0"/>
                <w:szCs w:val="21"/>
              </w:rPr>
              <w:t xml:space="preserve">    </w:t>
            </w:r>
            <w:r>
              <w:rPr>
                <w:rFonts w:hint="eastAsia"/>
                <w:color w:val="auto"/>
                <w:kern w:val="0"/>
                <w:szCs w:val="21"/>
                <w:lang w:val="en-US" w:eastAsia="zh-CN"/>
              </w:rPr>
              <w:t>国内</w:t>
            </w:r>
            <w:r>
              <w:rPr>
                <w:color w:val="auto"/>
                <w:kern w:val="0"/>
                <w:szCs w:val="21"/>
              </w:rPr>
              <w:t>培训</w:t>
            </w:r>
          </w:p>
        </w:tc>
        <w:tc>
          <w:tcPr>
            <w:tcW w:w="2161" w:type="dxa"/>
            <w:tcBorders>
              <w:top w:val="single" w:color="auto" w:sz="4" w:space="0"/>
              <w:bottom w:val="single" w:color="auto" w:sz="4" w:space="0"/>
            </w:tcBorders>
            <w:vAlign w:val="center"/>
          </w:tcPr>
          <w:p>
            <w:pPr>
              <w:widowControl/>
              <w:spacing w:beforeLines="0" w:afterLines="0" w:line="300" w:lineRule="exact"/>
              <w:rPr>
                <w:color w:val="auto"/>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auto"/>
                <w:kern w:val="0"/>
                <w:szCs w:val="21"/>
              </w:rPr>
            </w:pPr>
            <w:r>
              <w:rPr>
                <w:color w:val="auto"/>
                <w:kern w:val="0"/>
                <w:szCs w:val="21"/>
              </w:rPr>
              <w:t>C180601</w:t>
            </w:r>
            <w:r>
              <w:rPr>
                <w:rFonts w:hint="eastAsia"/>
                <w:color w:val="auto"/>
                <w:kern w:val="0"/>
                <w:szCs w:val="21"/>
                <w:lang w:val="en-US" w:eastAsia="zh-CN"/>
              </w:rPr>
              <w:t>01</w:t>
            </w:r>
          </w:p>
        </w:tc>
        <w:tc>
          <w:tcPr>
            <w:tcW w:w="3644" w:type="dxa"/>
            <w:tcBorders>
              <w:top w:val="single" w:color="auto" w:sz="4" w:space="0"/>
              <w:bottom w:val="single" w:color="auto" w:sz="4" w:space="0"/>
            </w:tcBorders>
            <w:vAlign w:val="center"/>
          </w:tcPr>
          <w:p>
            <w:pPr>
              <w:widowControl/>
              <w:spacing w:beforeLines="0" w:afterLines="0" w:line="300" w:lineRule="exact"/>
              <w:rPr>
                <w:rFonts w:hint="eastAsia" w:eastAsia="宋体"/>
                <w:color w:val="auto"/>
                <w:kern w:val="0"/>
                <w:szCs w:val="21"/>
                <w:lang w:val="en-US" w:eastAsia="zh-CN"/>
              </w:rPr>
            </w:pPr>
            <w:r>
              <w:rPr>
                <w:rFonts w:hint="eastAsia"/>
                <w:color w:val="auto"/>
                <w:kern w:val="0"/>
                <w:szCs w:val="21"/>
                <w:lang w:val="en-US" w:eastAsia="zh-CN"/>
              </w:rPr>
              <w:t xml:space="preserve">      省内培训</w:t>
            </w:r>
          </w:p>
        </w:tc>
        <w:tc>
          <w:tcPr>
            <w:tcW w:w="2161" w:type="dxa"/>
            <w:tcBorders>
              <w:top w:val="single" w:color="auto" w:sz="4" w:space="0"/>
              <w:bottom w:val="single" w:color="auto" w:sz="4" w:space="0"/>
            </w:tcBorders>
            <w:vAlign w:val="center"/>
          </w:tcPr>
          <w:p>
            <w:pPr>
              <w:widowControl/>
              <w:spacing w:beforeLines="0" w:afterLines="0" w:line="300" w:lineRule="exact"/>
              <w:rPr>
                <w:color w:val="auto"/>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rFonts w:hint="eastAsia" w:eastAsia="宋体"/>
                <w:color w:val="auto"/>
                <w:kern w:val="0"/>
                <w:szCs w:val="21"/>
                <w:lang w:val="en-US" w:eastAsia="zh-CN"/>
              </w:rPr>
            </w:pPr>
            <w:r>
              <w:rPr>
                <w:rFonts w:hint="eastAsia"/>
                <w:color w:val="auto"/>
                <w:kern w:val="0"/>
                <w:szCs w:val="21"/>
                <w:lang w:val="en-US" w:eastAsia="zh-CN"/>
              </w:rPr>
              <w:t>政府集中采购（定点采购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color w:val="auto"/>
                <w:kern w:val="0"/>
                <w:szCs w:val="21"/>
              </w:rPr>
            </w:pPr>
            <w:r>
              <w:rPr>
                <w:color w:val="auto"/>
                <w:kern w:val="0"/>
                <w:szCs w:val="21"/>
              </w:rPr>
              <w:t>C180601</w:t>
            </w:r>
            <w:r>
              <w:rPr>
                <w:rFonts w:hint="eastAsia"/>
                <w:color w:val="auto"/>
                <w:kern w:val="0"/>
                <w:szCs w:val="21"/>
                <w:lang w:val="en-US" w:eastAsia="zh-CN"/>
              </w:rPr>
              <w:t>02</w:t>
            </w:r>
          </w:p>
        </w:tc>
        <w:tc>
          <w:tcPr>
            <w:tcW w:w="3644" w:type="dxa"/>
            <w:tcBorders>
              <w:top w:val="single" w:color="auto" w:sz="4" w:space="0"/>
              <w:bottom w:val="single" w:color="auto" w:sz="4" w:space="0"/>
            </w:tcBorders>
            <w:vAlign w:val="center"/>
          </w:tcPr>
          <w:p>
            <w:pPr>
              <w:widowControl/>
              <w:spacing w:beforeLines="0" w:afterLines="0" w:line="300" w:lineRule="exact"/>
              <w:rPr>
                <w:rFonts w:hint="eastAsia" w:eastAsia="宋体"/>
                <w:color w:val="auto"/>
                <w:kern w:val="0"/>
                <w:szCs w:val="21"/>
                <w:lang w:val="en-US" w:eastAsia="zh-CN"/>
              </w:rPr>
            </w:pPr>
            <w:r>
              <w:rPr>
                <w:rFonts w:hint="eastAsia"/>
                <w:color w:val="auto"/>
                <w:kern w:val="0"/>
                <w:szCs w:val="21"/>
                <w:lang w:val="en-US" w:eastAsia="zh-CN"/>
              </w:rPr>
              <w:t xml:space="preserve">      省外培训</w:t>
            </w:r>
          </w:p>
        </w:tc>
        <w:tc>
          <w:tcPr>
            <w:tcW w:w="2161" w:type="dxa"/>
            <w:tcBorders>
              <w:top w:val="single" w:color="auto" w:sz="4" w:space="0"/>
              <w:bottom w:val="single" w:color="auto" w:sz="4" w:space="0"/>
            </w:tcBorders>
            <w:vAlign w:val="center"/>
          </w:tcPr>
          <w:p>
            <w:pPr>
              <w:widowControl/>
              <w:spacing w:beforeLines="0" w:afterLines="0" w:line="300" w:lineRule="exact"/>
              <w:rPr>
                <w:color w:val="auto"/>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C180602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w:t>
            </w:r>
            <w:r>
              <w:rPr>
                <w:rFonts w:hint="eastAsia"/>
                <w:kern w:val="0"/>
                <w:szCs w:val="21"/>
                <w:lang w:val="en-US" w:eastAsia="zh-CN"/>
              </w:rPr>
              <w:t>国外</w:t>
            </w:r>
            <w:r>
              <w:rPr>
                <w:kern w:val="0"/>
                <w:szCs w:val="21"/>
              </w:rPr>
              <w:t>培训</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C1899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其他教育服务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医疗卫生和社会服务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C1901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医疗卫生服务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C190107</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健康检查服务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C190199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其他医疗卫生服务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C1902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社会服务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C190201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收容收养服务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C190202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社会救济服务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C190203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就业服务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C190299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其他社会服务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C20</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文化、体育、娱乐服务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C2001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新闻服务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C2002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广播、电视、电影和音像服务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C2003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文化艺术服务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C2004</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体育服务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C2005</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娱乐服务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C21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农林牧副渔服务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C2101</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农业服务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C2102</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林业服务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C2103</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畜牧业服务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C2104</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渔业服务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C2199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 xml:space="preserve">  其他农林牧副渔服务</w:t>
            </w:r>
          </w:p>
        </w:tc>
        <w:tc>
          <w:tcPr>
            <w:tcW w:w="2161" w:type="dxa"/>
            <w:tcBorders>
              <w:top w:val="single" w:color="auto" w:sz="4" w:space="0"/>
              <w:bottom w:val="single" w:color="auto" w:sz="4" w:space="0"/>
            </w:tcBorders>
            <w:vAlign w:val="center"/>
          </w:tcPr>
          <w:p>
            <w:pPr>
              <w:widowControl/>
              <w:spacing w:beforeLines="0" w:afterLines="0" w:line="300" w:lineRule="exact"/>
              <w:rPr>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single" w:color="auto" w:sz="4" w:space="0"/>
              <w:left w:val="single" w:color="auto" w:sz="4" w:space="0"/>
              <w:bottom w:val="single" w:color="auto" w:sz="4" w:space="0"/>
            </w:tcBorders>
            <w:vAlign w:val="center"/>
          </w:tcPr>
          <w:p>
            <w:pPr>
              <w:widowControl/>
              <w:spacing w:beforeLines="0" w:afterLines="0" w:line="300" w:lineRule="exact"/>
              <w:rPr>
                <w:kern w:val="0"/>
                <w:szCs w:val="21"/>
              </w:rPr>
            </w:pPr>
            <w:r>
              <w:rPr>
                <w:kern w:val="0"/>
                <w:szCs w:val="21"/>
              </w:rPr>
              <w:t>C99</w:t>
            </w:r>
          </w:p>
        </w:tc>
        <w:tc>
          <w:tcPr>
            <w:tcW w:w="3644" w:type="dxa"/>
            <w:tcBorders>
              <w:top w:val="single" w:color="auto" w:sz="4" w:space="0"/>
              <w:bottom w:val="single" w:color="auto" w:sz="4" w:space="0"/>
            </w:tcBorders>
            <w:vAlign w:val="center"/>
          </w:tcPr>
          <w:p>
            <w:pPr>
              <w:widowControl/>
              <w:spacing w:beforeLines="0" w:afterLines="0" w:line="300" w:lineRule="exact"/>
              <w:rPr>
                <w:kern w:val="0"/>
                <w:szCs w:val="21"/>
              </w:rPr>
            </w:pPr>
            <w:r>
              <w:rPr>
                <w:kern w:val="0"/>
                <w:szCs w:val="21"/>
              </w:rPr>
              <w:t>其他服务</w:t>
            </w:r>
          </w:p>
        </w:tc>
        <w:tc>
          <w:tcPr>
            <w:tcW w:w="2161" w:type="dxa"/>
            <w:tcBorders>
              <w:top w:val="single" w:color="auto" w:sz="4" w:space="0"/>
              <w:bottom w:val="single" w:color="auto" w:sz="4" w:space="0"/>
            </w:tcBorders>
            <w:vAlign w:val="center"/>
          </w:tcPr>
          <w:p>
            <w:pPr>
              <w:widowControl/>
              <w:spacing w:beforeLines="0" w:afterLines="0" w:line="300" w:lineRule="exact"/>
              <w:rPr>
                <w:b/>
                <w:kern w:val="0"/>
                <w:szCs w:val="21"/>
              </w:rPr>
            </w:pPr>
          </w:p>
        </w:tc>
        <w:tc>
          <w:tcPr>
            <w:tcW w:w="2417" w:type="dxa"/>
            <w:tcBorders>
              <w:top w:val="single" w:color="auto" w:sz="4" w:space="0"/>
              <w:bottom w:val="single" w:color="auto" w:sz="4" w:space="0"/>
              <w:right w:val="single" w:color="auto" w:sz="4" w:space="0"/>
            </w:tcBorders>
            <w:vAlign w:val="center"/>
          </w:tcPr>
          <w:p>
            <w:pPr>
              <w:widowControl/>
              <w:spacing w:beforeLines="0" w:afterLines="0" w:line="300" w:lineRule="exact"/>
              <w:rPr>
                <w:b/>
                <w:kern w:val="0"/>
                <w:szCs w:val="21"/>
              </w:rPr>
            </w:pPr>
          </w:p>
        </w:tc>
      </w:tr>
    </w:tbl>
    <w:p>
      <w:pPr>
        <w:spacing w:beforeLines="0" w:afterLines="0" w:line="300" w:lineRule="exact"/>
      </w:pPr>
    </w:p>
    <w:p>
      <w:pPr>
        <w:spacing w:beforeLines="0" w:afterLines="0" w:line="300" w:lineRule="exact"/>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tbl>
      <w:tblPr>
        <w:tblStyle w:val="6"/>
        <w:tblW w:w="8931" w:type="dxa"/>
        <w:tblInd w:w="130"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1088"/>
        <w:gridCol w:w="7843"/>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Ex>
        <w:trPr>
          <w:trHeight w:val="680" w:hRule="atLeast"/>
        </w:trPr>
        <w:tc>
          <w:tcPr>
            <w:tcW w:w="1088" w:type="dxa"/>
            <w:tcBorders>
              <w:tl2br w:val="nil"/>
              <w:tr2bl w:val="nil"/>
            </w:tcBorders>
            <w:tcMar>
              <w:top w:w="0" w:type="dxa"/>
              <w:left w:w="108" w:type="dxa"/>
              <w:bottom w:w="0" w:type="dxa"/>
              <w:right w:w="0" w:type="dxa"/>
            </w:tcMar>
            <w:vAlign w:val="top"/>
          </w:tcPr>
          <w:p>
            <w:pPr>
              <w:spacing w:line="560" w:lineRule="exact"/>
              <w:rPr>
                <w:rFonts w:hint="eastAsia" w:ascii="仿宋_GB2312" w:eastAsia="仿宋_GB2312"/>
                <w:sz w:val="30"/>
                <w:vertAlign w:val="baseline"/>
                <w:lang w:val="en-US" w:eastAsia="zh-CN"/>
              </w:rPr>
            </w:pPr>
            <w:r>
              <w:rPr>
                <w:rFonts w:hint="eastAsia" w:ascii="仿宋_GB2312" w:eastAsia="仿宋_GB2312"/>
                <w:sz w:val="28"/>
                <w:szCs w:val="28"/>
                <w:vertAlign w:val="baseline"/>
                <w:lang w:val="en-US" w:eastAsia="zh-CN"/>
              </w:rPr>
              <w:t xml:space="preserve">  抄送：</w:t>
            </w:r>
          </w:p>
        </w:tc>
        <w:tc>
          <w:tcPr>
            <w:tcW w:w="7843" w:type="dxa"/>
            <w:tcBorders>
              <w:tl2br w:val="nil"/>
              <w:tr2bl w:val="nil"/>
            </w:tcBorders>
            <w:tcMar>
              <w:top w:w="0" w:type="dxa"/>
              <w:left w:w="28" w:type="dxa"/>
              <w:bottom w:w="0" w:type="dxa"/>
              <w:right w:w="108" w:type="dxa"/>
            </w:tcMar>
            <w:vAlign w:val="top"/>
          </w:tcPr>
          <w:p>
            <w:pPr>
              <w:spacing w:line="560" w:lineRule="exact"/>
              <w:rPr>
                <w:rFonts w:hint="eastAsia" w:ascii="仿宋_GB2312" w:eastAsia="仿宋_GB2312"/>
                <w:sz w:val="28"/>
                <w:szCs w:val="28"/>
                <w:vertAlign w:val="baseline"/>
                <w:lang w:eastAsia="zh-CN"/>
              </w:rPr>
            </w:pPr>
            <w:r>
              <w:rPr>
                <w:rFonts w:hint="eastAsia" w:ascii="仿宋_GB2312" w:eastAsia="仿宋_GB2312"/>
                <w:sz w:val="28"/>
                <w:szCs w:val="28"/>
                <w:vertAlign w:val="baseline"/>
                <w:lang w:eastAsia="zh-CN"/>
              </w:rPr>
              <w:t>省政府办公厅。</w:t>
            </w:r>
          </w:p>
        </w:tc>
      </w:tr>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Ex>
        <w:trPr>
          <w:trHeight w:val="680" w:hRule="atLeast"/>
        </w:trPr>
        <w:tc>
          <w:tcPr>
            <w:tcW w:w="8931" w:type="dxa"/>
            <w:gridSpan w:val="2"/>
            <w:tcBorders>
              <w:tl2br w:val="nil"/>
              <w:tr2bl w:val="nil"/>
            </w:tcBorders>
            <w:vAlign w:val="top"/>
          </w:tcPr>
          <w:p>
            <w:pPr>
              <w:spacing w:line="560" w:lineRule="exact"/>
              <w:rPr>
                <w:rFonts w:hint="eastAsia" w:ascii="仿宋_GB2312" w:eastAsia="仿宋_GB2312"/>
                <w:sz w:val="30"/>
                <w:vertAlign w:val="baseline"/>
              </w:rPr>
            </w:pPr>
            <w:r>
              <w:rPr>
                <w:rFonts w:hint="eastAsia" w:ascii="仿宋_GB2312" w:eastAsia="仿宋_GB2312"/>
                <w:sz w:val="28"/>
                <w:szCs w:val="28"/>
                <w:lang w:val="en-US" w:eastAsia="zh-CN"/>
              </w:rPr>
              <w:t xml:space="preserve"> </w:t>
            </w:r>
            <w:r>
              <w:rPr>
                <w:rFonts w:hint="eastAsia" w:ascii="仿宋_GB2312" w:eastAsia="仿宋_GB2312"/>
                <w:sz w:val="28"/>
                <w:szCs w:val="28"/>
                <w:vertAlign w:val="baseline"/>
                <w:lang w:val="en-US" w:eastAsia="zh-CN"/>
              </w:rPr>
              <w:t xml:space="preserve"> </w:t>
            </w:r>
            <w:r>
              <w:rPr>
                <w:rFonts w:hint="eastAsia" w:ascii="仿宋_GB2312" w:eastAsia="仿宋_GB2312"/>
                <w:sz w:val="28"/>
                <w:szCs w:val="28"/>
              </w:rPr>
              <w:t xml:space="preserve">浙江省财政厅办公室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2017</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10</w:t>
            </w:r>
            <w:r>
              <w:rPr>
                <w:rFonts w:hint="eastAsia" w:ascii="仿宋_GB2312" w:eastAsia="仿宋_GB2312"/>
                <w:sz w:val="28"/>
                <w:szCs w:val="28"/>
              </w:rPr>
              <w:t>日印</w:t>
            </w:r>
            <w:r>
              <w:rPr>
                <w:rFonts w:hint="eastAsia" w:ascii="仿宋_GB2312" w:eastAsia="仿宋_GB2312"/>
                <w:sz w:val="28"/>
                <w:szCs w:val="28"/>
                <w:lang w:val="en-US" w:eastAsia="zh-CN"/>
              </w:rPr>
              <w:t>发</w:t>
            </w:r>
          </w:p>
        </w:tc>
      </w:tr>
    </w:tbl>
    <w:p>
      <w:pPr>
        <w:snapToGrid/>
        <w:spacing w:line="240" w:lineRule="auto"/>
        <w:jc w:val="left"/>
        <w:rPr>
          <w:rFonts w:hint="eastAsia" w:ascii="仿宋" w:hAnsi="仿宋" w:eastAsia="仿宋" w:cs="仿宋"/>
          <w:kern w:val="2"/>
          <w:sz w:val="32"/>
          <w:szCs w:val="32"/>
          <w:lang w:val="en-US" w:eastAsia="zh-CN" w:bidi="ar-SA"/>
        </w:rPr>
      </w:pPr>
    </w:p>
    <w:p>
      <w:pPr/>
    </w:p>
    <w:sectPr>
      <w:headerReference r:id="rId3" w:type="default"/>
      <w:footerReference r:id="rId4" w:type="default"/>
      <w:footerReference r:id="rId5" w:type="even"/>
      <w:pgSz w:w="11906" w:h="16838"/>
      <w:pgMar w:top="2098" w:right="1474" w:bottom="1985" w:left="1588" w:header="851" w:footer="1588" w:gutter="0"/>
      <w:pgBorders w:offsetFrom="page">
        <w:top w:val="none" w:color="auto" w:sz="0" w:space="0"/>
        <w:left w:val="none" w:color="auto" w:sz="0" w:space="0"/>
        <w:bottom w:val="none" w:color="auto" w:sz="0" w:space="0"/>
        <w:right w:val="none" w:color="auto" w:sz="0" w:space="0"/>
      </w:pgBorders>
      <w:cols w:space="720" w:num="1"/>
      <w:docGrid w:type="linesAndChars"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Helvetica">
    <w:altName w:val="Arial"/>
    <w:panose1 w:val="020B0604020202020204"/>
    <w:charset w:val="00"/>
    <w:family w:val="decorative"/>
    <w:pitch w:val="default"/>
    <w:sig w:usb0="00000000" w:usb1="00000000" w:usb2="00000008" w:usb3="00000000" w:csb0="0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创艺简标宋">
    <w:altName w:val="方正舒体"/>
    <w:panose1 w:val="00000000000000000000"/>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622" w:wrap="around" w:vAnchor="text" w:hAnchor="margin" w:xAlign="outside" w:y="1"/>
      <w:ind w:firstLine="280" w:firstLineChars="100"/>
      <w:rPr>
        <w:rStyle w:val="5"/>
        <w:rFonts w:hint="eastAsia"/>
        <w:sz w:val="28"/>
      </w:rPr>
    </w:pPr>
    <w:r>
      <w:rPr>
        <w:rStyle w:val="5"/>
        <w:rFonts w:hint="eastAsia"/>
        <w:sz w:val="28"/>
      </w:rPr>
      <w:t xml:space="preserve">— </w:t>
    </w:r>
    <w:r>
      <w:rPr>
        <w:sz w:val="28"/>
      </w:rPr>
      <w:fldChar w:fldCharType="begin"/>
    </w:r>
    <w:r>
      <w:rPr>
        <w:rStyle w:val="5"/>
        <w:sz w:val="28"/>
      </w:rPr>
      <w:instrText xml:space="preserve"> PAGE </w:instrText>
    </w:r>
    <w:r>
      <w:rPr>
        <w:sz w:val="28"/>
      </w:rPr>
      <w:fldChar w:fldCharType="separate"/>
    </w:r>
    <w:r>
      <w:rPr>
        <w:rStyle w:val="5"/>
        <w:sz w:val="28"/>
      </w:rPr>
      <w:t>1</w:t>
    </w:r>
    <w:r>
      <w:rPr>
        <w:sz w:val="28"/>
      </w:rPr>
      <w:fldChar w:fldCharType="end"/>
    </w:r>
    <w:r>
      <w:rPr>
        <w:rStyle w:val="5"/>
        <w:rFonts w:hint="eastAsia"/>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43161"/>
    <w:rsid w:val="4CA4316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黑体"/>
      <w:snapToGrid w:val="0"/>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2017-04-14T01:42:00Z</dcterms:created>
  <dc:creator>冯华</dc:creator>
  <cp:lastModifiedBy>冯华</cp:lastModifiedBy>
  <dcterms:modified xsi:type="dcterms:W3CDTF">2017-04-14T01:42:46Z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