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lang w:eastAsia="zh-CN"/>
        </w:rPr>
      </w:pPr>
      <w:bookmarkStart w:id="0" w:name="urgentLevel"/>
      <w:r>
        <w:rPr>
          <w:rFonts w:hint="eastAsia" w:ascii="黑体" w:eastAsia="黑体"/>
          <w:sz w:val="32"/>
          <w:lang w:eastAsia="zh-CN"/>
        </w:rPr>
        <w:t>加  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tbl>
      <w:tblPr>
        <w:tblStyle w:val="6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8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768" w:type="dxa"/>
            <w:vAlign w:val="top"/>
          </w:tcPr>
          <w:p>
            <w:pPr>
              <w:jc w:val="distribute"/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  <w:t>浙江省财政厅</w:t>
            </w:r>
          </w:p>
        </w:tc>
        <w:tc>
          <w:tcPr>
            <w:tcW w:w="2292" w:type="dxa"/>
            <w:vAlign w:val="center"/>
          </w:tcPr>
          <w:p>
            <w:pPr>
              <w:jc w:val="distribute"/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</w:pPr>
            <w:bookmarkStart w:id="1" w:name="fileType"/>
            <w:r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  <w:t>文件</w:t>
            </w:r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lang w:eastAsia="zh-CN"/>
        </w:rPr>
        <w:t>浙财采监〔2017〕5号</w:t>
      </w:r>
      <w:bookmarkEnd w:id="2"/>
    </w:p>
    <w:p>
      <w:pPr>
        <w:rPr>
          <w:rFonts w:hint="eastAsia" w:ascii="仿宋_GB2312" w:eastAsia="仿宋_GB2312"/>
          <w:vanish w:val="0"/>
          <w:szCs w:val="21"/>
        </w:rPr>
      </w:pPr>
      <w:r>
        <w:rPr>
          <w:rFonts w:ascii="仿宋_GB2312" w:eastAsia="仿宋_GB2312"/>
          <w:vanish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52958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8.15pt;height:0pt;width:435.4pt;z-index:251658240;mso-width-relative:page;mso-height-relative:page;" filled="f" stroked="t" coordsize="21600,21600" o:gfxdata="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jK9XtQAAAAGAQAADwAAAAAAAAABACAAAAAiAAAAZHJzL2Rvd25yZXYueG1s&#10;UEsBAhQAFAAAAAgAh07iQLfSxg/DAQAAjAMAAA4AAAAAAAAAAQAgAAAAIwEAAGRycy9lMm9Eb2Mu&#10;eG1sUEsFBgAAAAAGAAYAWQEAAF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浙江省财政厅关于公布2017-2018年度浙江省政府采购进口产品（教育科研类）清单的通知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各市、县（市、区）财政局，省级有关单位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Lines="0" w:afterLines="0" w:line="600" w:lineRule="exact"/>
        <w:ind w:firstLine="6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为规范进口产品采购管理，提高采购单位的采购效率，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根据《政府采购进口产品管理办法》和省财政厅《关于进一步加强政府采购进口产品管理的通知》（浙财采监〔2010〕51号）等有关规定，现将201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年度浙江省政府采购进口产品（教育科研类）清单予以公布（详见附件）。</w:t>
      </w:r>
    </w:p>
    <w:p>
      <w:pPr>
        <w:spacing w:beforeLines="0" w:afterLines="0" w:line="600" w:lineRule="exact"/>
        <w:ind w:firstLine="62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采购单位凡在有效期内向同级财政部门申请采购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列入本清单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产品时，无需再提供专家论证意见。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高校、科研院所拟采购本清单产品用于科研的，无需履行报经财政部门审核程序。但在组织允许采购进口产品项目的政府采购活动时，不能排斥国产同类产品参与竞争。</w:t>
      </w:r>
    </w:p>
    <w:p>
      <w:pPr>
        <w:spacing w:beforeLines="0" w:afterLines="0" w:line="600" w:lineRule="exact"/>
        <w:ind w:firstLine="62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2017年4月7日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执行，有效期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请遵照执行。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附件：1.允许采购进口产品清单一（无国产品牌）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2.允许采购进口产品清单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国产品牌）</w:t>
      </w:r>
    </w:p>
    <w:p>
      <w:pPr>
        <w:spacing w:beforeLines="0" w:afterLines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0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554"/>
        </w:tabs>
        <w:spacing w:beforeLines="0" w:afterLines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浙江省财政厅  </w:t>
      </w:r>
    </w:p>
    <w:p>
      <w:pPr>
        <w:spacing w:beforeLines="0" w:afterLines="0" w:line="600" w:lineRule="exact"/>
        <w:ind w:left="3027" w:leftChars="1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（此件公开发布）</w:t>
      </w: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Lines="0" w:beforeAutospacing="1" w:after="100" w:afterLines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tbl>
      <w:tblPr>
        <w:tblStyle w:val="6"/>
        <w:tblW w:w="8237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781"/>
        <w:gridCol w:w="55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仪器名称</w:t>
            </w:r>
          </w:p>
        </w:tc>
        <w:tc>
          <w:tcPr>
            <w:tcW w:w="5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功    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荧光定量PCR仪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用于监测整个PCR反应扩增过程的荧光信号。数据通过实时分析软件以图表的形式显示，原始数据被绘制成荧光强度相对于循环数的图表。用于临床基础基因研究检测、定量分析和确定基因转录水平等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靶向测序系统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目标区域深度平行测序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全自动生物大分子分析仪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快速、高通量、全自动的完成微量DNA、RNA及蛋白质样品的定性及定量分析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活体小动物荧光显微成像系统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基因测序仪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人体基因检测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四级杆飞行时间串联液质联用仪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用于各项科研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激光共聚焦活细胞工作站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用于科研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超微量蛋白磷酸化分析系统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用于科研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单细胞western blot系统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用于科研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全自动蛋白质印迹定量分析系统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用于科研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生物大分子相互作用分析仪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4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用于科研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100" w:beforeLines="0" w:beforeAutospacing="1" w:after="100" w:afterLines="0" w:afterAutospacing="1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tbl>
      <w:tblPr>
        <w:tblStyle w:val="6"/>
        <w:tblW w:w="8234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005"/>
        <w:gridCol w:w="2316"/>
        <w:gridCol w:w="2049"/>
        <w:gridCol w:w="1857"/>
        <w:gridCol w:w="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915" w:hRule="atLeast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主要功能</w:t>
            </w:r>
          </w:p>
        </w:tc>
        <w:tc>
          <w:tcPr>
            <w:tcW w:w="2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本国产品与进口仪器区别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选择进口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280" w:lineRule="exac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产品的理由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85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分光光度计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1.检定物质2. 与标准物及标准图谱对照3. 比较最大吸收波长吸收系数的一致性4 纯度检验 5. 推测化合物的分子结构6.络合物组成及稳定常数的测定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-107" w:right="0" w:firstLine="10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1、国产品数据精度和重现性较差2、使用寿命短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超低杂散光、进口设备可以做到近红外部分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气相色谱仪 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用于对物质成分进行定性定量分析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1、重现性差2、数据误差大3、扩展性差4、仪器稳定性差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痕量分析时对重现性要求较高，国产仪器无法满足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85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酶标仪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用于酶免反应检测；能测读96孔板，也可以测读384孔板；波长范围：340nm~850nm；带8位滤光片轮，随机配4块滤光片；可选装温控孵育器。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不能测读384孔板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进口产品精确度好，稳定性高，可测读384孔板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显微镜(荧光倒置显微镜）</w:t>
            </w:r>
          </w:p>
        </w:tc>
        <w:tc>
          <w:tcPr>
            <w:tcW w:w="2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倒置荧光显微镜由荧光附件与倒置显微镜有机结合构成的，主要用于细胞等活体组织的荧光、相差观察</w:t>
            </w:r>
          </w:p>
        </w:tc>
        <w:tc>
          <w:tcPr>
            <w:tcW w:w="20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没有高质量荧光激发块，高数值孔径物镜，观察效果差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为了获得高清晰、高质量成像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超低温冰箱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存放生物活性标本；最低温度：-86℃；备用的电池在断电时能保证报警功能和温度显示；采用无氯氟烃（CFC）制冷剂；密码设置：未经授权不能改变温度设定和报警设定。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进口设备控温精度高，有效容积大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贵重标本和生物制品保存使用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离心机</w:t>
            </w:r>
          </w:p>
        </w:tc>
        <w:tc>
          <w:tcPr>
            <w:tcW w:w="2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冷冻型, Fast-temp快速制冷功能,定速计时功能,瞬时离心功能,最大容量4*400ml, 自动识别转子, 自动锁盖功能, 最多储存34个用户程序, 10个启动和刹车档可选</w:t>
            </w:r>
          </w:p>
        </w:tc>
        <w:tc>
          <w:tcPr>
            <w:tcW w:w="2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国产设备没有快速制冷功能,没有定速计时功能,没有瞬时离心功能,无法储存用户程序,最多只有6-7个启动刹车挡可选.而且国产设备压缩机无法长期运转,最低转速无法设置到4度,故障率高,离心效果不佳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进口离心机能满足相关性能要求，控制精度高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纯水仪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提供细胞培养、分子生物学所需要的超纯水；产水电阻率：18.2MΩ；产水不含内毒素和RNA酶；产水速率不小于2L/分钟；能自动记录12个月以上用水水质；纯化柱等消耗品在耗尽前能提前提示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国产设备产水质量不稳定，国产设备产水不能去除内毒素和RNA酶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产水不含除内毒素和RNA酶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二氧化碳培养箱</w:t>
            </w:r>
          </w:p>
        </w:tc>
        <w:tc>
          <w:tcPr>
            <w:tcW w:w="23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为动物细胞培养提供必要的环境；能采用高温湿热灭菌；CO2传感器能自动校准；温度范围：室温+5~50℃；CO2浓度控制：0~20%；带独立三扇小门；容积：大于150L</w:t>
            </w:r>
          </w:p>
        </w:tc>
        <w:tc>
          <w:tcPr>
            <w:tcW w:w="2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进口温度和碳浓度控制比国产精确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高精度科研实验需要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可调移液器（枪）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可整支消毒,, 耐高温抗腐蚀, 带伸缩式弹性吸嘴, 带密度调节窗口，适用于不同密度的液体, 4位数字体积显示,密封圈免维护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国产设备无法整支高温消毒及紫外灭菌,没有弹性吸嘴,没有密度调节窗口,只有3位数数字体积显示,而且精密度不准确,误差较大,需要经常校准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进口移液器精度高、重现性好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电泳仪</w:t>
            </w:r>
          </w:p>
        </w:tc>
        <w:tc>
          <w:tcPr>
            <w:tcW w:w="23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能同时容纳4块胶（7.5×8cm）；带湿转印模块；电源：电压10-300V；电流0-700 mA；最大功率150W</w:t>
            </w:r>
          </w:p>
        </w:tc>
        <w:tc>
          <w:tcPr>
            <w:tcW w:w="2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国产设备只能同时容纳2块胶，不能同时做湿转印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需要同时能容纳4块胶，能同时做湿转印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液相色谱仪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用于对化合物进行分离与检测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1、数据误差大2、重现性差3、容易漏液4、故障频率高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相比国产设备数据可靠性强，重现性好，故障率低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高压灭菌锅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压灭菌锅是用比常压高的压力，把水的沸点升至100℃以上的高温，而进行液体或器具灭菌的一种高压容器。适用于医疗卫生事业、科研、高校、农业等单位，对医疗器械，敷料，玻璃器皿，溶液培养基等进行消毒灭菌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可靠性、安全性不够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高精度科研实验需要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生物安全柜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防止微生物等培养物的交叉污染，保护实验操作人员和实验环境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排风系统和过滤器的质量和使用寿命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进口设备噪声低、洁净度稳定，自动化程度高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基因扩增仪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DNA、RNA扩增。实时定量检测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国产的只是普通、抵挡，质量难以完全信任。进口仪器质量稳定，可靠性高，且可以进行实时定量等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温度控制精度高、升温速率快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旋转蒸发仪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根据沸点不同浓缩提取化合物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进口设备密封性能好、蒸发瓶安全性能高、能够实时检测蒸汽温度和压力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真空度稳定、可用于低温蒸发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液氮罐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液氮存储、保存、运输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进口设备反挥发性好、实际容量大、标本存储安全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科研实验需要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数字示波器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模拟和数字信号采集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国产设备基本为中低端产品，中高端较少，和进口仪器设备相比，性能还有差距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带宽大，采样频率高，数据存储和导出方便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任意波形（信号）发生器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产生任意信号波形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和进口仪器设备相比，国产仪器设备的信号频率和稳定性较差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和合成信号频率高，频率稳定性强，信号调制能力强，信号编辑方便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（交）直流电源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输出交直流电源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国内产品精度较低、稳定性较差、功能单一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要求具有高精度、高可靠性和稳定性，以及强大的可编辑输出功能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电子天平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电磁力平衡被称物体重力的天平称之为电子天平。其特点是称量准确可靠、显示快速清晰并且具有自动检测系统、简便的自动校准装置以及超载保护等装置。适用于工矿企业、科学研究机构、高等院校、实验室、化验室作精密衡量分析测定之用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可靠性差，精度低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用于微量分析</w:t>
            </w:r>
          </w:p>
        </w:tc>
        <w:tc>
          <w:tcPr>
            <w:tcW w:w="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tbl>
      <w:tblPr>
        <w:tblStyle w:val="6"/>
        <w:tblW w:w="8931" w:type="dxa"/>
        <w:tblInd w:w="13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1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浙江省财政厅办公室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2"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"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65786"/>
    <w:rsid w:val="11EC10B7"/>
    <w:rsid w:val="239657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2017-04-14T01:18:00Z</dcterms:created>
  <dc:creator>冯华</dc:creator>
  <cp:lastModifiedBy>冯华</cp:lastModifiedBy>
  <dcterms:modified xsi:type="dcterms:W3CDTF">2017-04-14T01:19:39Z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